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5CE8" w14:textId="77777777" w:rsidR="00D13E36" w:rsidRPr="00EC4209" w:rsidRDefault="00D13E36" w:rsidP="00D13E36">
      <w:pPr>
        <w:pStyle w:val="Obyajntext"/>
        <w:spacing w:line="276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EC4209">
        <w:rPr>
          <w:rFonts w:ascii="Times New Roman" w:eastAsia="MS Mincho" w:hAnsi="Times New Roman"/>
          <w:b/>
          <w:sz w:val="28"/>
          <w:szCs w:val="28"/>
        </w:rPr>
        <w:t>Skúšobné otázky</w:t>
      </w:r>
    </w:p>
    <w:p w14:paraId="505AFD15" w14:textId="77777777" w:rsidR="00D13E36" w:rsidRPr="00EC4209" w:rsidRDefault="00D13E36" w:rsidP="00D13E36">
      <w:pPr>
        <w:pStyle w:val="Obyajntext"/>
        <w:spacing w:line="276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EC4209">
        <w:rPr>
          <w:rFonts w:ascii="Times New Roman" w:eastAsia="MS Mincho" w:hAnsi="Times New Roman"/>
          <w:b/>
          <w:sz w:val="28"/>
          <w:szCs w:val="28"/>
        </w:rPr>
        <w:t xml:space="preserve"> Rímske právo II. </w:t>
      </w:r>
    </w:p>
    <w:p w14:paraId="4DABEF70" w14:textId="77777777" w:rsidR="00D13E36" w:rsidRPr="00EC4209" w:rsidRDefault="00D13E36" w:rsidP="00D13E36">
      <w:pPr>
        <w:pStyle w:val="Obyajntext"/>
        <w:spacing w:line="276" w:lineRule="auto"/>
        <w:jc w:val="center"/>
        <w:rPr>
          <w:rFonts w:ascii="Times New Roman" w:eastAsia="MS Mincho" w:hAnsi="Times New Roman"/>
          <w:sz w:val="24"/>
          <w:szCs w:val="24"/>
        </w:rPr>
      </w:pPr>
    </w:p>
    <w:p w14:paraId="580D693D" w14:textId="77777777" w:rsidR="00D13E36" w:rsidRPr="00EC4209" w:rsidRDefault="00D13E36" w:rsidP="00D13E36">
      <w:pPr>
        <w:pStyle w:val="Obyajntext"/>
        <w:tabs>
          <w:tab w:val="left" w:pos="2855"/>
        </w:tabs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b/>
          <w:sz w:val="24"/>
          <w:szCs w:val="24"/>
        </w:rPr>
        <w:t>VECNÉ PRÁVO</w:t>
      </w:r>
      <w:r w:rsidRPr="00EC4209">
        <w:rPr>
          <w:rFonts w:ascii="Times New Roman" w:eastAsia="MS Mincho" w:hAnsi="Times New Roman"/>
          <w:sz w:val="24"/>
          <w:szCs w:val="24"/>
        </w:rPr>
        <w:tab/>
      </w:r>
    </w:p>
    <w:p w14:paraId="3210FEDE" w14:textId="404D6983" w:rsidR="00FE6EA4" w:rsidRPr="00FE6EA4" w:rsidRDefault="00FE6EA4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  <w:lang w:val="sk-SK"/>
        </w:rPr>
      </w:pPr>
      <w:r w:rsidRPr="00FE6EA4">
        <w:rPr>
          <w:rFonts w:ascii="Times New Roman" w:eastAsia="MS Mincho" w:hAnsi="Times New Roman"/>
          <w:sz w:val="24"/>
          <w:szCs w:val="24"/>
          <w:lang w:val="sk-SK"/>
        </w:rPr>
        <w:t xml:space="preserve">Civilná a naturálna držba </w:t>
      </w:r>
    </w:p>
    <w:p w14:paraId="31AFCCB7" w14:textId="29DE4834" w:rsidR="00FE6EA4" w:rsidRDefault="00FE6EA4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  <w:lang w:val="sk-SK"/>
        </w:rPr>
      </w:pPr>
      <w:r w:rsidRPr="00FE6EA4">
        <w:rPr>
          <w:rFonts w:ascii="Times New Roman" w:eastAsia="MS Mincho" w:hAnsi="Times New Roman"/>
          <w:sz w:val="24"/>
          <w:szCs w:val="24"/>
          <w:lang w:val="sk-SK"/>
        </w:rPr>
        <w:t xml:space="preserve">Oprávnená, </w:t>
      </w:r>
      <w:proofErr w:type="spellStart"/>
      <w:r>
        <w:rPr>
          <w:rFonts w:ascii="Times New Roman" w:eastAsia="MS Mincho" w:hAnsi="Times New Roman"/>
          <w:sz w:val="24"/>
          <w:szCs w:val="24"/>
          <w:lang w:val="sk-SK"/>
        </w:rPr>
        <w:t>vadná</w:t>
      </w:r>
      <w:proofErr w:type="spellEnd"/>
      <w:r>
        <w:rPr>
          <w:rFonts w:ascii="Times New Roman" w:eastAsia="MS Mincho" w:hAnsi="Times New Roman"/>
          <w:sz w:val="24"/>
          <w:szCs w:val="24"/>
          <w:lang w:val="sk-SK"/>
        </w:rPr>
        <w:t>, dobromyseľná držba a držba za účelom vydržania</w:t>
      </w:r>
    </w:p>
    <w:p w14:paraId="4F84B44D" w14:textId="19FFFFCA" w:rsidR="00FE6EA4" w:rsidRDefault="00FE6EA4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  <w:lang w:val="sk-SK"/>
        </w:rPr>
      </w:pPr>
      <w:r>
        <w:rPr>
          <w:rFonts w:ascii="Times New Roman" w:eastAsia="MS Mincho" w:hAnsi="Times New Roman"/>
          <w:sz w:val="24"/>
          <w:szCs w:val="24"/>
          <w:lang w:val="sk-SK"/>
        </w:rPr>
        <w:t>Nadobudnutie držby</w:t>
      </w:r>
    </w:p>
    <w:p w14:paraId="0D04A0E2" w14:textId="5EFB72F3" w:rsidR="00FE6EA4" w:rsidRDefault="00FE6EA4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  <w:lang w:val="sk-SK"/>
        </w:rPr>
      </w:pPr>
      <w:r>
        <w:rPr>
          <w:rFonts w:ascii="Times New Roman" w:eastAsia="MS Mincho" w:hAnsi="Times New Roman"/>
          <w:sz w:val="24"/>
          <w:szCs w:val="24"/>
          <w:lang w:val="sk-SK"/>
        </w:rPr>
        <w:t xml:space="preserve">Trvanie a zánik držby </w:t>
      </w:r>
    </w:p>
    <w:p w14:paraId="6F75B349" w14:textId="3A1B6D19" w:rsidR="00FE6EA4" w:rsidRPr="00FE6EA4" w:rsidRDefault="00FE6EA4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  <w:lang w:val="sk-SK"/>
        </w:rPr>
      </w:pPr>
      <w:r>
        <w:rPr>
          <w:rFonts w:ascii="Times New Roman" w:eastAsia="MS Mincho" w:hAnsi="Times New Roman"/>
          <w:sz w:val="24"/>
          <w:szCs w:val="24"/>
          <w:lang w:val="sk-SK"/>
        </w:rPr>
        <w:t xml:space="preserve">Ochrana držby </w:t>
      </w:r>
    </w:p>
    <w:p w14:paraId="158B22ED" w14:textId="2158A9F2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Vec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v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právnom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slova zmysle, pojem.</w:t>
      </w:r>
    </w:p>
    <w:p w14:paraId="15C7A8CE" w14:textId="617C7351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Rozdelenie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vecí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27A39DFC" w14:textId="2438642A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Nehnuteľné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hnuteľné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veci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 Plody.</w:t>
      </w:r>
    </w:p>
    <w:p w14:paraId="4AF09A66" w14:textId="7E60D26C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Jednotné,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zložené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a hromadné veci.</w:t>
      </w:r>
    </w:p>
    <w:p w14:paraId="0B600A55" w14:textId="63757DEE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Vecné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gramStart"/>
      <w:r w:rsidRPr="00EC4209">
        <w:rPr>
          <w:rFonts w:ascii="Times New Roman" w:eastAsia="MS Mincho" w:hAnsi="Times New Roman"/>
          <w:sz w:val="24"/>
          <w:szCs w:val="24"/>
        </w:rPr>
        <w:t>právo - pojem</w:t>
      </w:r>
      <w:proofErr w:type="gramEnd"/>
      <w:r w:rsidRPr="00EC4209">
        <w:rPr>
          <w:rFonts w:ascii="Times New Roman" w:eastAsia="MS Mincho" w:hAnsi="Times New Roman"/>
          <w:sz w:val="24"/>
          <w:szCs w:val="24"/>
        </w:rPr>
        <w:t>, podstata a systém vecných práv.</w:t>
      </w:r>
    </w:p>
    <w:p w14:paraId="7E791918" w14:textId="2D6D07AD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Podstata a pojem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vlastníckeho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 rímskeho, obsah, rozsah.</w:t>
      </w:r>
    </w:p>
    <w:p w14:paraId="06C4B318" w14:textId="4ACC471F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Druhy a zánik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vlastníctva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43175F7C" w14:textId="19D150D9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Obmedzenia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vlastníckeho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práva.</w:t>
      </w:r>
    </w:p>
    <w:p w14:paraId="72B6E1A0" w14:textId="0E174D7B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Spoluvlastníctvo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6CFA9F33" w14:textId="2F042773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Pôvodné nadobudnutie práva a pôvodné nadobudnutie vlastníckeho práva.</w:t>
      </w:r>
    </w:p>
    <w:p w14:paraId="65BA4CE7" w14:textId="4D6A305B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Occupatio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372530FB" w14:textId="7DCDFB21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Nadobudnutie vlastnického práva splynutím a zmiešaním.</w:t>
      </w:r>
    </w:p>
    <w:p w14:paraId="28D4D8B7" w14:textId="62282CA7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Nadobudnutie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vlastníckeho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 k 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plodom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088A9B8E" w14:textId="3A45F2B0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Vydržanie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487E5D78" w14:textId="287C129F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Nadobudnutie vlastníckeho práva spojením a spracovaním.</w:t>
      </w:r>
    </w:p>
    <w:p w14:paraId="32D497FD" w14:textId="3AE31895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Odvodené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nadobudnutie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 a odvodené nadobudnutie (</w:t>
      </w:r>
      <w:proofErr w:type="gramStart"/>
      <w:r w:rsidRPr="00EC4209">
        <w:rPr>
          <w:rFonts w:ascii="Times New Roman" w:eastAsia="MS Mincho" w:hAnsi="Times New Roman"/>
          <w:sz w:val="24"/>
          <w:szCs w:val="24"/>
        </w:rPr>
        <w:t>prevod)  vlastníckeho</w:t>
      </w:r>
      <w:proofErr w:type="gramEnd"/>
      <w:r w:rsidRPr="00EC4209">
        <w:rPr>
          <w:rFonts w:ascii="Times New Roman" w:eastAsia="MS Mincho" w:hAnsi="Times New Roman"/>
          <w:sz w:val="24"/>
          <w:szCs w:val="24"/>
        </w:rPr>
        <w:t xml:space="preserve"> práva - podstatné rozdiely medzi nimi.</w:t>
      </w:r>
    </w:p>
    <w:p w14:paraId="20D7A51F" w14:textId="3532D629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Traditio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0BE6526F" w14:textId="7A4EA80D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Mancipatio. In iure cessio.</w:t>
      </w:r>
    </w:p>
    <w:p w14:paraId="1DF51A55" w14:textId="3691EDAA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Ochrana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vlastníckeho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 (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vlastnícka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žaloba proti odňatiu veci).</w:t>
      </w:r>
    </w:p>
    <w:p w14:paraId="5EFFF695" w14:textId="17575ED0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Vlastnícka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žaloba proti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rušeniu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vlastníctva.</w:t>
      </w:r>
    </w:p>
    <w:p w14:paraId="1CA3ABD1" w14:textId="0DDD130E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Actio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Publiciana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4E0323CD" w14:textId="7530AA1E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Podstata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vecných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 k cudzej </w:t>
      </w:r>
      <w:proofErr w:type="gramStart"/>
      <w:r w:rsidRPr="00EC4209">
        <w:rPr>
          <w:rFonts w:ascii="Times New Roman" w:eastAsia="MS Mincho" w:hAnsi="Times New Roman"/>
          <w:sz w:val="24"/>
          <w:szCs w:val="24"/>
        </w:rPr>
        <w:t>veci,  práva</w:t>
      </w:r>
      <w:proofErr w:type="gramEnd"/>
      <w:r w:rsidRPr="00EC4209">
        <w:rPr>
          <w:rFonts w:ascii="Times New Roman" w:eastAsia="MS Mincho" w:hAnsi="Times New Roman"/>
          <w:sz w:val="24"/>
          <w:szCs w:val="24"/>
        </w:rPr>
        <w:t xml:space="preserve"> užívacie (účel ich zriadenia, </w:t>
      </w:r>
    </w:p>
    <w:p w14:paraId="6981561F" w14:textId="66FB3D47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vymenovať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).</w:t>
      </w:r>
    </w:p>
    <w:p w14:paraId="21D1DD9F" w14:textId="4F6ABAB6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Práva užívacie. Pozemkové služobnosti.</w:t>
      </w:r>
    </w:p>
    <w:p w14:paraId="0B2FE7FE" w14:textId="4C89C3DD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Práva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užívacie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 Osobné služobnosti.</w:t>
      </w:r>
    </w:p>
    <w:p w14:paraId="47E3BCD6" w14:textId="5C2BD6C4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Práva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užívacie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 Emphyteusis.</w:t>
      </w:r>
    </w:p>
    <w:p w14:paraId="06D0351D" w14:textId="18DB031C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Práva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užívacie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 Superficies.</w:t>
      </w:r>
    </w:p>
    <w:p w14:paraId="7C924511" w14:textId="2512FDD9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Práva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garančné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(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záložné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). Účel zriadenia, druhy. </w:t>
      </w:r>
    </w:p>
    <w:p w14:paraId="12708B79" w14:textId="64A13BE8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Práva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garančné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 Pignus.</w:t>
      </w:r>
    </w:p>
    <w:p w14:paraId="02A362D3" w14:textId="18841777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Práva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garančné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. Hypotéka. </w:t>
      </w:r>
    </w:p>
    <w:p w14:paraId="5112DF2A" w14:textId="657EA4D4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Obsah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záložného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práva.</w:t>
      </w:r>
    </w:p>
    <w:p w14:paraId="5C083609" w14:textId="1E84DE17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Viacnásobný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záloh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veci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420DD7B4" w14:textId="6A48D21F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Vznik a zánik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záložného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práva. </w:t>
      </w:r>
    </w:p>
    <w:p w14:paraId="2818E577" w14:textId="06B1F131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lastRenderedPageBreak/>
        <w:t xml:space="preserve">Ochrana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záložného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práva.</w:t>
      </w:r>
    </w:p>
    <w:p w14:paraId="5E27CE3C" w14:textId="77777777" w:rsidR="00B85D63" w:rsidRPr="00EC4209" w:rsidRDefault="00B85D63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</w:p>
    <w:p w14:paraId="381FC2FE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b/>
          <w:sz w:val="24"/>
          <w:szCs w:val="24"/>
        </w:rPr>
      </w:pPr>
      <w:r w:rsidRPr="00EC4209">
        <w:rPr>
          <w:rFonts w:ascii="Times New Roman" w:eastAsia="MS Mincho" w:hAnsi="Times New Roman"/>
          <w:b/>
          <w:sz w:val="24"/>
          <w:szCs w:val="24"/>
        </w:rPr>
        <w:t>ZÁVÄZKOVÉ  PRÁVO</w:t>
      </w:r>
    </w:p>
    <w:p w14:paraId="35885308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1. Záväzok, pojem a druhy záväzkov podľa dôvodu ich vzniku, rozdiel</w:t>
      </w:r>
    </w:p>
    <w:p w14:paraId="49E61BB1" w14:textId="77777777" w:rsidR="00741F4F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    medzi záväzkami z kontraktu a záväzkami z deliktu.</w:t>
      </w:r>
    </w:p>
    <w:p w14:paraId="1BC14193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2. Vývoj záväzkov. </w:t>
      </w:r>
    </w:p>
    <w:p w14:paraId="5FFD69EF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3. Rozdiel medzi civilným a naturálnym záväzkom.</w:t>
      </w:r>
    </w:p>
    <w:p w14:paraId="17D5E53F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4. Záväzky z kontraktov a z protiprávnych úkonov.</w:t>
      </w:r>
    </w:p>
    <w:p w14:paraId="03C85930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5. Delené a kumulatívne záväzky.</w:t>
      </w:r>
    </w:p>
    <w:p w14:paraId="38123BDD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6. Solidárne záväzky.</w:t>
      </w:r>
    </w:p>
    <w:p w14:paraId="2E8F5452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7. Prevod pohľadávky a záväzku.</w:t>
      </w:r>
    </w:p>
    <w:p w14:paraId="4BA288C2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8. Ručenie.</w:t>
      </w:r>
    </w:p>
    <w:p w14:paraId="35655271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9. Constitutum debiti a intercesia.</w:t>
      </w:r>
    </w:p>
    <w:p w14:paraId="0B189C56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10. Adjektická zodpovednosť. </w:t>
      </w:r>
    </w:p>
    <w:p w14:paraId="4A323634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11. Predmet záväzkov. Druhové a individuálne, deliteľné,  určité a neurčité plnenie, alternatívny záväzok.</w:t>
      </w:r>
    </w:p>
    <w:p w14:paraId="0356541E" w14:textId="77777777" w:rsidR="00D13E36" w:rsidRPr="00EC4209" w:rsidRDefault="00D13E36" w:rsidP="00D13E36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12. Predmet záväzkov. Vedľajšie plnenia.</w:t>
      </w:r>
    </w:p>
    <w:p w14:paraId="21E5B39B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13. Zánik záväzkov - podľa civilného práva. Solutio.</w:t>
      </w:r>
    </w:p>
    <w:p w14:paraId="0427F756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14. Zánik záväzkov - podľa civilného práva. Novácia a delegácia.</w:t>
      </w:r>
    </w:p>
    <w:p w14:paraId="0C48504C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15. Zánik záväzkov - podľa prétorského práva. Compensatio.</w:t>
      </w:r>
    </w:p>
    <w:p w14:paraId="4D3D33F9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16. Spôsobenie a zavinenie nesplnenia záväzku.</w:t>
      </w:r>
    </w:p>
    <w:p w14:paraId="3FFFB26C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17. Náhrada škody.</w:t>
      </w:r>
    </w:p>
    <w:p w14:paraId="4F6CA057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18. Omeškanie veriteľa a jeho dôsledky.</w:t>
      </w:r>
    </w:p>
    <w:p w14:paraId="155011E9" w14:textId="77777777" w:rsidR="00D13E36" w:rsidRPr="00EC4209" w:rsidRDefault="00D13E36" w:rsidP="00D13E36">
      <w:pPr>
        <w:pStyle w:val="Obyajntext"/>
        <w:spacing w:line="276" w:lineRule="auto"/>
        <w:ind w:left="180" w:hanging="180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19. Omeškania dlžníka a jeho dôsledky.</w:t>
      </w:r>
    </w:p>
    <w:p w14:paraId="3BCBC520" w14:textId="77777777" w:rsidR="00D13E36" w:rsidRPr="00EC4209" w:rsidRDefault="00D13E36" w:rsidP="00D13E36">
      <w:pPr>
        <w:pStyle w:val="Obyajntext"/>
        <w:spacing w:line="276" w:lineRule="auto"/>
        <w:ind w:left="180" w:hanging="180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20. Scudzenie na škodu veriteľov.</w:t>
      </w:r>
    </w:p>
    <w:p w14:paraId="13564048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21. Druhy kontraktov podľa spôsobu ich uzavretia, podstatné rozdiely medzi nimi.</w:t>
      </w:r>
    </w:p>
    <w:p w14:paraId="6EECD3F5" w14:textId="77777777" w:rsidR="00D13E36" w:rsidRPr="00EC4209" w:rsidRDefault="00D13E36" w:rsidP="00D13E36">
      <w:pPr>
        <w:pStyle w:val="Obyajntext"/>
        <w:spacing w:line="276" w:lineRule="auto"/>
        <w:ind w:left="180" w:hanging="180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22. Verbálne kontrakty. Stipulatio.</w:t>
      </w:r>
    </w:p>
    <w:p w14:paraId="0E8C5AFD" w14:textId="77777777" w:rsidR="00D13E36" w:rsidRPr="00EC4209" w:rsidRDefault="00D13E36" w:rsidP="00D13E36">
      <w:pPr>
        <w:pStyle w:val="Obyajntext"/>
        <w:spacing w:line="276" w:lineRule="auto"/>
        <w:ind w:left="180" w:hanging="180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23. Verbálne kontrakty. Okrem stipulatio.</w:t>
      </w:r>
    </w:p>
    <w:p w14:paraId="398B4E7D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24. Literálne kontrakty.</w:t>
      </w:r>
    </w:p>
    <w:p w14:paraId="304EDC31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25. Reálne kontrakty - predpoklady vzniku, druhy. Pôžička.</w:t>
      </w:r>
    </w:p>
    <w:p w14:paraId="5C6201EA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26. Reálne kontrakty - predpoklady vzniku, druhy. Vypožičanie.</w:t>
      </w:r>
    </w:p>
    <w:p w14:paraId="36F05E1A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27. Reálne kontrakty - predpoklady vzniku, druhy. Úschova.</w:t>
      </w:r>
    </w:p>
    <w:p w14:paraId="3E56DB18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28. Konsenzuálne kontrakty. Kúpopredaj - žaloby.</w:t>
      </w:r>
    </w:p>
    <w:p w14:paraId="252004C8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29. Konsenzuálne kontrakty. Kúpopredaj - povinnosti predávajúceho a  kupujúceho. Vedľajšie dohody pri kúpopredaji. </w:t>
      </w:r>
    </w:p>
    <w:p w14:paraId="5864370F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30. Konsenzuálne kontrakty. Nájom veci.</w:t>
      </w:r>
    </w:p>
    <w:p w14:paraId="17A12274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31. Konsenzuálne kontrakty. Pracovná zmluva.</w:t>
      </w:r>
    </w:p>
    <w:p w14:paraId="1BB3741D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32. Konsenzuálne kontrakty. Zmluva o dielo.</w:t>
      </w:r>
    </w:p>
    <w:p w14:paraId="4E7A4A4F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33. Konsenzuálne kontrakty. Spoločenská zmluva.</w:t>
      </w:r>
    </w:p>
    <w:p w14:paraId="4481A75E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34. Konsenzuálne kontrakty. Príkazná zmluva.</w:t>
      </w:r>
    </w:p>
    <w:p w14:paraId="3CFEA5DA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35. Dohody (pacta).</w:t>
      </w:r>
    </w:p>
    <w:p w14:paraId="102D7AD5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36. Nepomenované zmluvy.</w:t>
      </w:r>
    </w:p>
    <w:p w14:paraId="3BCE00AA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37. Nepomenované zmluvy – historický vývoj.</w:t>
      </w:r>
    </w:p>
    <w:p w14:paraId="68FC57F1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38. Výmena a starinárska zmluva.</w:t>
      </w:r>
    </w:p>
    <w:p w14:paraId="33C69EC1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lastRenderedPageBreak/>
        <w:t>39. Darovanie.</w:t>
      </w:r>
    </w:p>
    <w:p w14:paraId="65C522A9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40. Záväzky z deliktov. Civilné delikty. Krádež.</w:t>
      </w:r>
    </w:p>
    <w:p w14:paraId="56CF9159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41. Záväzky z deliktov. Civilné delikty. Urážka.</w:t>
      </w:r>
    </w:p>
    <w:p w14:paraId="7407E902" w14:textId="77777777" w:rsidR="00D13E36" w:rsidRPr="00EC4209" w:rsidRDefault="00D13E36" w:rsidP="00D13E36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42. Vývin obligačnej povinnosti nahradiť škodu z protiprávneho činu  v rímskom práve.</w:t>
      </w:r>
    </w:p>
    <w:p w14:paraId="6E82DE38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43. Záväzky z deliktov. Civilné delikty. Protiprávne poškodenie cudzej veci.</w:t>
      </w:r>
    </w:p>
    <w:p w14:paraId="2D940B26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44. Kvázikontrakty. Negotiorum gestio.</w:t>
      </w:r>
    </w:p>
    <w:p w14:paraId="237C6D93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45. Bezdôvodné obohatenie.</w:t>
      </w:r>
    </w:p>
    <w:p w14:paraId="77845FCA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46. Ostatné kvázikontrakty.</w:t>
      </w:r>
    </w:p>
    <w:p w14:paraId="2C5BBBD9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47. Kvázidelikty.</w:t>
      </w:r>
    </w:p>
    <w:p w14:paraId="56424A39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48. Condictiones.</w:t>
      </w:r>
    </w:p>
    <w:p w14:paraId="4826571B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49. Condictio indebiti.</w:t>
      </w:r>
    </w:p>
    <w:p w14:paraId="01E87DF4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50. Tresty a trestný proces.</w:t>
      </w:r>
    </w:p>
    <w:p w14:paraId="4F34B6A2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51. Mimoriadne trestné konanie.</w:t>
      </w:r>
    </w:p>
    <w:p w14:paraId="344F3926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</w:p>
    <w:p w14:paraId="5E503E8B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b/>
          <w:sz w:val="24"/>
          <w:szCs w:val="24"/>
        </w:rPr>
        <w:t>DEDIČSKÉ PRÁVO</w:t>
      </w:r>
    </w:p>
    <w:p w14:paraId="477C4F3C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1. Vývoj právnych úprav dedenia.</w:t>
      </w:r>
    </w:p>
    <w:p w14:paraId="06F88A7D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2. Zásady rímskeho dedičského práva. </w:t>
      </w:r>
    </w:p>
    <w:p w14:paraId="07E5A126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3. Delačné dôvody v rímskom práve. Zásada jedného delačného dôvodu.</w:t>
      </w:r>
    </w:p>
    <w:p w14:paraId="0F63EA14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4. Závet a závetná spôsobilosť.</w:t>
      </w:r>
    </w:p>
    <w:p w14:paraId="0717A862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5. Riadne formy závetu.</w:t>
      </w:r>
    </w:p>
    <w:p w14:paraId="31A36409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6. Mimoriadne formy závetu.</w:t>
      </w:r>
    </w:p>
    <w:p w14:paraId="64417C18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7. Obsah závetu – formy náhradníctva pri dedení.</w:t>
      </w:r>
    </w:p>
    <w:p w14:paraId="3F4281DB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8. Neplatnosť a neúčinnosť závetu.</w:t>
      </w:r>
    </w:p>
    <w:p w14:paraId="757C7FEE" w14:textId="77777777" w:rsidR="00D13E36" w:rsidRPr="00EC4209" w:rsidRDefault="00D13E36" w:rsidP="00D13E36">
      <w:pPr>
        <w:pStyle w:val="Obyajntext"/>
        <w:spacing w:line="276" w:lineRule="auto"/>
        <w:ind w:left="284" w:hanging="284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9. Zásada dispozičnej voľnosti zostaviteľa, jej obmedzenie ( formálne a materiálne právo tzv. neopomenuteľných dedičov).</w:t>
      </w:r>
    </w:p>
    <w:p w14:paraId="4444B157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10. Dedenie zo zákona. Princípy povolávania dedičov k dedeniu zo zákona. </w:t>
      </w:r>
    </w:p>
    <w:p w14:paraId="1A543564" w14:textId="77777777" w:rsidR="00D13E36" w:rsidRPr="00EC4209" w:rsidRDefault="00D13E36" w:rsidP="00D13E36">
      <w:pPr>
        <w:pStyle w:val="Obyajntext"/>
        <w:spacing w:line="276" w:lineRule="auto"/>
        <w:ind w:left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Dedenie podľa civilného práva.</w:t>
      </w:r>
    </w:p>
    <w:p w14:paraId="2B910E8D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11. Dedenie zo zákona (podľa prétorského práva).</w:t>
      </w:r>
    </w:p>
    <w:p w14:paraId="76E80D2A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12. Dedenie zo zákona v období cisárstva.</w:t>
      </w:r>
    </w:p>
    <w:p w14:paraId="3F4DEB36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13. Dedenie zo zákona (podľa justiniánskych noviel).</w:t>
      </w:r>
    </w:p>
    <w:p w14:paraId="2B454046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14. Dedenie proti závetu.</w:t>
      </w:r>
    </w:p>
    <w:p w14:paraId="1ABF861D" w14:textId="77777777" w:rsidR="00D13E36" w:rsidRPr="00EC4209" w:rsidRDefault="00D13E36" w:rsidP="00D13E36">
      <w:pPr>
        <w:pStyle w:val="Obyajntext"/>
        <w:spacing w:line="276" w:lineRule="auto"/>
        <w:ind w:left="426" w:hanging="567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  15. Kategórie dedičov v rímskom dedičskom práve. Predpoklady dediteľnosti práva z delácie (transmissio hereditatis).</w:t>
      </w:r>
    </w:p>
    <w:p w14:paraId="4088C15B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16. Zodpovednosť dediča za dlhy poručiteľa - všeobecne, druhy obmezení   </w:t>
      </w:r>
    </w:p>
    <w:p w14:paraId="596E8A16" w14:textId="77777777" w:rsidR="00D13E36" w:rsidRPr="00EC4209" w:rsidRDefault="00D13E36" w:rsidP="00D13E36">
      <w:pPr>
        <w:pStyle w:val="Obyajntext"/>
        <w:spacing w:line="276" w:lineRule="auto"/>
        <w:ind w:left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zlúčenia dedičstva s majetkom dediča.</w:t>
      </w:r>
    </w:p>
    <w:p w14:paraId="00B45985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17. Obmedzenia nadobudnutia dedičstva a zodpovednosť dediča za dlhy poručiteľa. Separatio bonorum.</w:t>
      </w:r>
    </w:p>
    <w:p w14:paraId="21DAE988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18. Obmedzenia nadobudnutia dedičstva a zodpovednosť dediča za dlhy poručiteľa. Beneficium abstinendi.</w:t>
      </w:r>
    </w:p>
    <w:p w14:paraId="663DD24F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19. Obmedzenia nadobudnutia dedičstva a zodpovednosť dediča za dlhy poručiteľa. Beneficium separationis.</w:t>
      </w:r>
    </w:p>
    <w:p w14:paraId="6CBA061D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20. Obmedzenia nadobudnutia dedičstva a zodpovednosť dediča za dlhy poručiteľa. Beneficium inventarii. </w:t>
      </w:r>
    </w:p>
    <w:p w14:paraId="37896DCA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21. Spoludedičia.</w:t>
      </w:r>
    </w:p>
    <w:p w14:paraId="2E459D8C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lastRenderedPageBreak/>
        <w:t xml:space="preserve">22. Jednotlivé nadobudnutia pre prípad smrti. Singulárna sukcesia pre prípad smrti, rozdiely od univerzálnej sukcesie.  </w:t>
      </w:r>
    </w:p>
    <w:p w14:paraId="3FB9E26B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23. Odkazy. </w:t>
      </w:r>
    </w:p>
    <w:p w14:paraId="5930058D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24. Fideikomisy.</w:t>
      </w:r>
    </w:p>
    <w:p w14:paraId="2251D488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25. Žaloby, najčastejšie sa vyskytujúce v dedičskom práve.</w:t>
      </w:r>
    </w:p>
    <w:p w14:paraId="385324DF" w14:textId="77777777" w:rsidR="00D13E36" w:rsidRPr="00EC4209" w:rsidRDefault="00D13E36" w:rsidP="00D13E36">
      <w:pPr>
        <w:spacing w:line="276" w:lineRule="auto"/>
      </w:pPr>
    </w:p>
    <w:p w14:paraId="68BA5314" w14:textId="77777777" w:rsidR="00F05656" w:rsidRDefault="00F05656"/>
    <w:sectPr w:rsidR="00F0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F7587"/>
    <w:multiLevelType w:val="hybridMultilevel"/>
    <w:tmpl w:val="247A9E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443C2"/>
    <w:multiLevelType w:val="hybridMultilevel"/>
    <w:tmpl w:val="E71CD5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71"/>
    <w:rsid w:val="005D1071"/>
    <w:rsid w:val="00741F4F"/>
    <w:rsid w:val="007F308D"/>
    <w:rsid w:val="00B85D63"/>
    <w:rsid w:val="00D13E36"/>
    <w:rsid w:val="00F05656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6876"/>
  <w15:chartTrackingRefBased/>
  <w15:docId w15:val="{45EE9435-A9C3-409C-B7ED-74600D5E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D13E36"/>
    <w:rPr>
      <w:rFonts w:ascii="Courier New" w:hAnsi="Courier New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D13E36"/>
    <w:rPr>
      <w:rFonts w:ascii="Courier New" w:eastAsia="Times New Roman" w:hAnsi="Courier New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Lucia Pištejová</cp:lastModifiedBy>
  <cp:revision>6</cp:revision>
  <dcterms:created xsi:type="dcterms:W3CDTF">2020-07-06T09:28:00Z</dcterms:created>
  <dcterms:modified xsi:type="dcterms:W3CDTF">2022-02-14T13:45:00Z</dcterms:modified>
</cp:coreProperties>
</file>