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4A" w:rsidRPr="00A1055C" w:rsidRDefault="00A1055C" w:rsidP="00A1055C">
      <w:pPr>
        <w:jc w:val="center"/>
        <w:rPr>
          <w:b/>
          <w:sz w:val="36"/>
          <w:szCs w:val="36"/>
        </w:rPr>
      </w:pPr>
      <w:r w:rsidRPr="00A1055C">
        <w:rPr>
          <w:b/>
          <w:sz w:val="36"/>
          <w:szCs w:val="36"/>
        </w:rPr>
        <w:t>Horizont 2020</w:t>
      </w:r>
    </w:p>
    <w:p w:rsidR="00A1055C" w:rsidRDefault="00A1055C"/>
    <w:p w:rsidR="00A1055C" w:rsidRPr="00A1055C" w:rsidRDefault="00A1055C">
      <w:pPr>
        <w:rPr>
          <w:b/>
          <w:sz w:val="28"/>
        </w:rPr>
      </w:pPr>
      <w:r w:rsidRPr="00A1055C">
        <w:rPr>
          <w:b/>
          <w:sz w:val="28"/>
        </w:rPr>
        <w:t>Priorita Excelentná veda</w:t>
      </w:r>
    </w:p>
    <w:p w:rsidR="00A1055C" w:rsidRDefault="00A1055C" w:rsidP="00A1055C">
      <w:pPr>
        <w:jc w:val="both"/>
      </w:pPr>
      <w:r>
        <w:t xml:space="preserve">Cieľom tejto časti je posilniť a rozšíriť excelentnosť vedeckej základne Únie a skonsolidovať EVP, aby sa systém Únie v oblasti výskumu a inovácie stal konkurencieschopnejším v celosvetovom meradle. </w:t>
      </w:r>
    </w:p>
    <w:p w:rsidR="00A1055C" w:rsidRDefault="00A1055C" w:rsidP="00A1055C">
      <w:pPr>
        <w:jc w:val="both"/>
      </w:pPr>
      <w:r>
        <w:t xml:space="preserve">Má štyri osobitné ciele: </w:t>
      </w:r>
    </w:p>
    <w:p w:rsidR="00A1055C" w:rsidRDefault="00A1055C" w:rsidP="00A1055C">
      <w:pPr>
        <w:jc w:val="both"/>
      </w:pPr>
      <w:r>
        <w:t>a) „</w:t>
      </w:r>
      <w:r w:rsidRPr="00A1055C">
        <w:rPr>
          <w:b/>
        </w:rPr>
        <w:t>Európska rada pre výskum (ERC)“</w:t>
      </w:r>
      <w:r>
        <w:t xml:space="preserve"> - tento cieľ poskytuje príťažlivé a pružné financovanie s cieľom umožniť talentovaným a kreatívnym jednotlivým výskumným pracovníkom a ich tímom realizovať najsľubnejšie výskumné projekty na hraniciach vedy na základe súťaže na úrovni celej Únie. </w:t>
      </w:r>
    </w:p>
    <w:p w:rsidR="008B1E9C" w:rsidRDefault="008B1E9C" w:rsidP="008B1E9C">
      <w:pPr>
        <w:pStyle w:val="Odsekzoznamu"/>
        <w:numPr>
          <w:ilvl w:val="0"/>
          <w:numId w:val="1"/>
        </w:numPr>
        <w:jc w:val="both"/>
      </w:pPr>
      <w:r w:rsidRPr="008B1E9C">
        <w:rPr>
          <w:b/>
        </w:rPr>
        <w:t>Web:</w:t>
      </w:r>
      <w:r>
        <w:t xml:space="preserve"> </w:t>
      </w:r>
      <w:hyperlink r:id="rId6" w:history="1">
        <w:r w:rsidRPr="004F5199">
          <w:rPr>
            <w:rStyle w:val="Hypertextovprepojenie"/>
          </w:rPr>
          <w:t>http://ec.europa.eu/programmes/horizon2020/en/h2020-section/e</w:t>
        </w:r>
        <w:r w:rsidRPr="004F5199">
          <w:rPr>
            <w:rStyle w:val="Hypertextovprepojenie"/>
          </w:rPr>
          <w:t>u</w:t>
        </w:r>
        <w:r w:rsidRPr="004F5199">
          <w:rPr>
            <w:rStyle w:val="Hypertextovprepojenie"/>
          </w:rPr>
          <w:t>ropean-research-council</w:t>
        </w:r>
      </w:hyperlink>
    </w:p>
    <w:p w:rsidR="00A1055C" w:rsidRDefault="00A1055C" w:rsidP="00A1055C">
      <w:pPr>
        <w:jc w:val="both"/>
      </w:pPr>
    </w:p>
    <w:p w:rsidR="00A1055C" w:rsidRDefault="00A1055C" w:rsidP="00A1055C">
      <w:pPr>
        <w:jc w:val="both"/>
      </w:pPr>
      <w:r>
        <w:t>b) „</w:t>
      </w:r>
      <w:r w:rsidRPr="00A1055C">
        <w:rPr>
          <w:b/>
        </w:rPr>
        <w:t>Technológie budúcnosti a vznikajúce technológie (FET)“</w:t>
      </w:r>
      <w:r>
        <w:t xml:space="preserve"> - tento cieľ podporuje spoluprácu v oblasti výskumu s cieľom rozšíriť kapacity Európy v oblasti pokročilej inovácie s paradigmatickým posunom. Podporí vedeckú spoluprácu naprieč všetkými disciplínami na radikálne nových, vysoko rizikových nápadoch a urýchli rozvoj najsľubnejších vznikajúcich oblastí vedy a techniky, ako aj tvorbu príslušných vedeckých komunít na úrovni Únie. 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  <w:rPr>
          <w:b/>
        </w:rPr>
      </w:pPr>
      <w:r w:rsidRPr="008B1E9C">
        <w:rPr>
          <w:b/>
        </w:rPr>
        <w:t>Web:</w:t>
      </w:r>
      <w:hyperlink r:id="rId7" w:history="1">
        <w:r w:rsidRPr="004F5199">
          <w:rPr>
            <w:rStyle w:val="Hypertextovprepojenie"/>
          </w:rPr>
          <w:t>http://ec.europa.eu/programmes/horizon2020/en/h2020-section/future-and-emerging-technologies</w:t>
        </w:r>
      </w:hyperlink>
    </w:p>
    <w:p w:rsidR="00A1055C" w:rsidRDefault="00A1055C" w:rsidP="00A1055C">
      <w:pPr>
        <w:jc w:val="both"/>
      </w:pPr>
    </w:p>
    <w:p w:rsidR="00A1055C" w:rsidRDefault="00A1055C" w:rsidP="00A1055C">
      <w:pPr>
        <w:jc w:val="both"/>
      </w:pPr>
      <w:r>
        <w:t>c) „</w:t>
      </w:r>
      <w:r w:rsidRPr="00A1055C">
        <w:rPr>
          <w:b/>
        </w:rPr>
        <w:t>Opatrenia v rámci Marie Skłodowska-Curie</w:t>
      </w:r>
      <w:r>
        <w:t xml:space="preserve">“- tento cieľ zabezpečuje excelentnú a inovačnú odbornú prípravu v oblasti výskumu, ako aj príťažlivé pracovné príležitosti a príležitosti na výmenu znalostí prostredníctvom cezhraničnej a medzisektorovej mobility výskumných pracovníkov s cieľom pripraviť ich čo najlepšie na to, aby boli schopní čeliť súčasným a budúcim spoločenským výzvam. 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  <w:rPr>
          <w:b/>
        </w:rPr>
      </w:pPr>
      <w:r w:rsidRPr="008B1E9C">
        <w:rPr>
          <w:b/>
        </w:rPr>
        <w:t xml:space="preserve">Web: </w:t>
      </w:r>
      <w:hyperlink r:id="rId8" w:history="1">
        <w:r w:rsidRPr="004F5199">
          <w:rPr>
            <w:rStyle w:val="Hypertextovprepojenie"/>
          </w:rPr>
          <w:t>http://ec.europa.eu/programmes/horizon2020/en/h2020-section/marie-sklodowska-curie-actions</w:t>
        </w:r>
      </w:hyperlink>
    </w:p>
    <w:p w:rsidR="00A1055C" w:rsidRDefault="00A1055C" w:rsidP="00A1055C">
      <w:pPr>
        <w:jc w:val="both"/>
      </w:pPr>
    </w:p>
    <w:p w:rsidR="00A1055C" w:rsidRDefault="00A1055C" w:rsidP="00A1055C">
      <w:pPr>
        <w:jc w:val="both"/>
      </w:pPr>
      <w:r>
        <w:t>d) „</w:t>
      </w:r>
      <w:r w:rsidRPr="00A1055C">
        <w:rPr>
          <w:b/>
        </w:rPr>
        <w:t>Výskumné infraštruktúry</w:t>
      </w:r>
      <w:r>
        <w:t xml:space="preserve">“ - tento cieľ rozvíja a podporuje excelentné európske výskumné infraštruktúry a pomáha, aby prispievali k EVP podporou ich inovačného potenciálu, priťahovaním výskumníkov na svetovej úrovni a odbornou prípravou ľudského kapitálu, a dopĺňa to príslušnou politikou Únie a medzinárodnou spoluprácou. 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  <w:rPr>
          <w:b/>
        </w:rPr>
      </w:pPr>
      <w:r w:rsidRPr="008B1E9C">
        <w:rPr>
          <w:b/>
        </w:rPr>
        <w:t xml:space="preserve">Web: </w:t>
      </w:r>
      <w:hyperlink r:id="rId9" w:history="1">
        <w:r w:rsidRPr="000A6C01">
          <w:rPr>
            <w:rStyle w:val="Hypertextovprepojenie"/>
          </w:rPr>
          <w:t>http://ec.europa.eu/programmes/horizon2020/en/h2020-section/european-research-infrastructures-including-e-infrastructures</w:t>
        </w:r>
      </w:hyperlink>
    </w:p>
    <w:p w:rsidR="008B1E9C" w:rsidRDefault="004F5199" w:rsidP="008B1E9C">
      <w:pPr>
        <w:pStyle w:val="Odsekzoznamu"/>
        <w:numPr>
          <w:ilvl w:val="0"/>
          <w:numId w:val="1"/>
        </w:numPr>
        <w:jc w:val="both"/>
        <w:rPr>
          <w:b/>
        </w:rPr>
      </w:pPr>
      <w:hyperlink r:id="rId10" w:history="1">
        <w:r w:rsidR="008B1E9C" w:rsidRPr="000A6C01">
          <w:rPr>
            <w:rStyle w:val="Hypertextovprepojenie"/>
            <w:b/>
          </w:rPr>
          <w:t>http://ec.europa.eu/programmes/horizon2020/en/h2020-section/e-infrastructures</w:t>
        </w:r>
      </w:hyperlink>
    </w:p>
    <w:p w:rsidR="00A1055C" w:rsidRDefault="00A1055C" w:rsidP="00A1055C">
      <w:pPr>
        <w:jc w:val="both"/>
      </w:pPr>
    </w:p>
    <w:p w:rsidR="00A1055C" w:rsidRDefault="00A1055C" w:rsidP="00A1055C">
      <w:pPr>
        <w:jc w:val="both"/>
      </w:pPr>
      <w:r>
        <w:t xml:space="preserve">Preukázalo sa, že v prípade každého z týchto cieľov má Únia veľkú pridanú hodnotu. Spoločne tvoria silný a vyvážený súbor činností, ktoré spolu s činnosťami na národnej, regionálnej a miestnej úrovni pokrývajú všetky potreby Európy súvisiace s vyspelou vedou a technikou. Zlúčenie do jedného programu im umožní pôsobiť jednotnejšie, racionálne, jednoduchšie a s väčším zameraním, pričom si zachovajú nadväznosť, ktorá je nevyhnutná na udržanie ich efektívnosti. </w:t>
      </w:r>
    </w:p>
    <w:p w:rsidR="00A1055C" w:rsidRDefault="00A1055C" w:rsidP="00A1055C">
      <w:pPr>
        <w:jc w:val="both"/>
      </w:pPr>
      <w:r>
        <w:t xml:space="preserve">Činnosti sú vo svojej podstate orientované do budúcnosti, budujú dlhodobé zručnosti, zameriavajú sa na ďalšiu generáciu vedy, techniky, výskumných pracovníkov a inovácie a poskytujú podporu novým talentom z Únie a pridružených krajín, ako aj na celom svete. S ohľadom na ich vedeckú povahu a režimy financovania zväčša zdola nahor orientované na bádateľov bude európska vedecká komunita hrať významnú úlohu pri určovaní smerovania výskumu uskutočňovaného v rámci programu Horizont 2020. </w:t>
      </w:r>
    </w:p>
    <w:p w:rsidR="00A1055C" w:rsidRDefault="00A1055C"/>
    <w:p w:rsidR="00A1055C" w:rsidRPr="00A1055C" w:rsidRDefault="00A1055C">
      <w:pPr>
        <w:rPr>
          <w:b/>
          <w:sz w:val="28"/>
        </w:rPr>
      </w:pPr>
      <w:r w:rsidRPr="00A1055C">
        <w:rPr>
          <w:b/>
          <w:sz w:val="28"/>
        </w:rPr>
        <w:t>Priorita Vedúce postavenie priemyslu</w:t>
      </w:r>
    </w:p>
    <w:p w:rsidR="00A1055C" w:rsidRDefault="00A1055C" w:rsidP="00A1055C">
      <w:r>
        <w:t xml:space="preserve">Cieľom tejto časti je urýchliť vývoj technológií a inovácií, ktoré budú podporovať podniky zajtrajška a pomáhať inovačným európskym MSP narásť na svetové vedúce spoločnosti. Má tri osobitné ciele: </w:t>
      </w:r>
    </w:p>
    <w:p w:rsidR="00A1055C" w:rsidRDefault="00A1055C" w:rsidP="00A1055C">
      <w:pPr>
        <w:jc w:val="both"/>
      </w:pPr>
      <w:r>
        <w:t>a) „</w:t>
      </w:r>
      <w:r w:rsidRPr="00A1055C">
        <w:rPr>
          <w:b/>
        </w:rPr>
        <w:t>Vedúce postavenie v rámci podporných a priemyselných technológií</w:t>
      </w:r>
      <w:r>
        <w:t xml:space="preserve">“- tento cieľ poskytne podporu vyhradenú pre výskum, vývoj a demonštračné činnosti a podľa potreby normalizáciu a certifikáciu v oblasti informačných a komunikačných technológií (ďalej len „IKT“), nanotechnológií, moderných materiálov, biotechnológií, modernej výroby  a spracovania a kozmického priestoru. Dôraz sa bude klásť na vzájomné pôsobenie a zbližovanie v rámci rôznych technológií a medzi nimi, ako aj na ich vzťahy k spoločenským výzvam. Vo všetkých uvedených oblastiach sa zohľadňujú potreby užívateľa. </w:t>
      </w:r>
    </w:p>
    <w:p w:rsidR="008B1E9C" w:rsidRDefault="008B1E9C" w:rsidP="008B1E9C">
      <w:pPr>
        <w:pStyle w:val="Odsekzoznamu"/>
        <w:numPr>
          <w:ilvl w:val="0"/>
          <w:numId w:val="1"/>
        </w:numPr>
        <w:jc w:val="both"/>
        <w:rPr>
          <w:b/>
        </w:rPr>
      </w:pPr>
      <w:r w:rsidRPr="008B1E9C">
        <w:rPr>
          <w:b/>
        </w:rPr>
        <w:t xml:space="preserve">Web: </w:t>
      </w:r>
      <w:hyperlink r:id="rId11" w:history="1">
        <w:r w:rsidRPr="008B1E9C">
          <w:rPr>
            <w:rStyle w:val="Hypertextovprepojenie"/>
          </w:rPr>
          <w:t>http://ec.europa.eu/programmes/horizon2020/en/h2020-section/leadership-enabling-and-industrial-technologies</w:t>
        </w:r>
      </w:hyperlink>
    </w:p>
    <w:p w:rsidR="008B1E9C" w:rsidRDefault="004F5199" w:rsidP="008B1E9C">
      <w:pPr>
        <w:pStyle w:val="Odsekzoznamu"/>
        <w:numPr>
          <w:ilvl w:val="0"/>
          <w:numId w:val="1"/>
        </w:numPr>
        <w:jc w:val="both"/>
        <w:rPr>
          <w:b/>
        </w:rPr>
      </w:pPr>
      <w:hyperlink r:id="rId12" w:history="1">
        <w:r w:rsidR="008B1E9C" w:rsidRPr="000A6C01">
          <w:rPr>
            <w:rStyle w:val="Hypertextovprepojenie"/>
            <w:b/>
          </w:rPr>
          <w:t>http://ec.europa.eu/programmes/horizon2020/en/h2020-section/information-and-communication-technologies</w:t>
        </w:r>
      </w:hyperlink>
    </w:p>
    <w:p w:rsidR="008B1E9C" w:rsidRDefault="004F5199" w:rsidP="008B1E9C">
      <w:pPr>
        <w:pStyle w:val="Odsekzoznamu"/>
        <w:numPr>
          <w:ilvl w:val="0"/>
          <w:numId w:val="1"/>
        </w:numPr>
        <w:jc w:val="both"/>
        <w:rPr>
          <w:b/>
        </w:rPr>
      </w:pPr>
      <w:hyperlink r:id="rId13" w:history="1">
        <w:r w:rsidR="008B1E9C" w:rsidRPr="000A6C01">
          <w:rPr>
            <w:rStyle w:val="Hypertextovprepojenie"/>
            <w:b/>
          </w:rPr>
          <w:t>http://ec.europa.eu/programmes/horizon2020/en/h2020-section/nanotechnologies-advanced-materials-advanced-manufacturing-and-processing-and</w:t>
        </w:r>
      </w:hyperlink>
    </w:p>
    <w:p w:rsidR="008B1E9C" w:rsidRPr="008B1E9C" w:rsidRDefault="004F5199" w:rsidP="008B1E9C">
      <w:pPr>
        <w:pStyle w:val="Odsekzoznamu"/>
        <w:numPr>
          <w:ilvl w:val="0"/>
          <w:numId w:val="1"/>
        </w:numPr>
        <w:jc w:val="both"/>
        <w:rPr>
          <w:b/>
        </w:rPr>
      </w:pPr>
      <w:hyperlink r:id="rId14" w:history="1">
        <w:r w:rsidR="008B1E9C" w:rsidRPr="004F5199">
          <w:rPr>
            <w:rStyle w:val="Hypertextovprepojenie"/>
            <w:b/>
          </w:rPr>
          <w:t>http://ec.europa.eu/programmes/horizon2020/en/h2020-section/space</w:t>
        </w:r>
      </w:hyperlink>
    </w:p>
    <w:p w:rsidR="00A1055C" w:rsidRDefault="00A1055C" w:rsidP="00A1055C">
      <w:pPr>
        <w:jc w:val="both"/>
      </w:pPr>
    </w:p>
    <w:p w:rsidR="00A1055C" w:rsidRDefault="00A1055C" w:rsidP="00A1055C">
      <w:pPr>
        <w:jc w:val="both"/>
      </w:pPr>
      <w:r>
        <w:t xml:space="preserve">b) </w:t>
      </w:r>
      <w:r w:rsidRPr="00A1055C">
        <w:rPr>
          <w:b/>
        </w:rPr>
        <w:t>„Prístup k rizikovému financovaniu“</w:t>
      </w:r>
      <w:r>
        <w:t xml:space="preserve"> - tento cieľ sa zameriava na odstránenie nedostatkov, pokiaľ ide o dostupnosť úverového a kapitálového financovania pre spoločnosti orientované na výskum a vývoj a na inováciu a pre projekty vo všetkých štádiách vývoja. Spolu s kapitálovým nástrojom Programu pre konkurencieschopnosť podnikov a malých a stredných podnikov (COSME) (2014–2020) podporí tvorbu rizikového kapitálu na úrovni Únie. 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  <w:rPr>
          <w:b/>
        </w:rPr>
      </w:pPr>
      <w:r w:rsidRPr="008B1E9C">
        <w:rPr>
          <w:b/>
        </w:rPr>
        <w:t xml:space="preserve">Web: </w:t>
      </w:r>
      <w:hyperlink r:id="rId15" w:history="1">
        <w:r w:rsidRPr="004F5199">
          <w:rPr>
            <w:rStyle w:val="Hypertextovprepojenie"/>
          </w:rPr>
          <w:t>http://ec.europa.eu/programmes/horizon2020/en/h2020-section/access-risk-finance</w:t>
        </w:r>
      </w:hyperlink>
    </w:p>
    <w:p w:rsidR="00A1055C" w:rsidRDefault="00A1055C" w:rsidP="00A1055C">
      <w:pPr>
        <w:jc w:val="both"/>
      </w:pPr>
    </w:p>
    <w:p w:rsidR="00A1055C" w:rsidRDefault="00A1055C" w:rsidP="00A1055C">
      <w:pPr>
        <w:jc w:val="both"/>
      </w:pPr>
      <w:r>
        <w:t xml:space="preserve">c) </w:t>
      </w:r>
      <w:r w:rsidRPr="00A1055C">
        <w:rPr>
          <w:b/>
        </w:rPr>
        <w:t>„Inovácia v malých a stredných podnikoch“</w:t>
      </w:r>
      <w:r>
        <w:t xml:space="preserve"> tento cieľ poskytne MSP prispôsobenú podporu zameranú na podnietenie všetkých foriem inovácie v MSP so zameraním sa na tie, ktoré majú potenciál rastu a medzinárodného pôsobenia v rámci jednotného trhu a za jeho hranicami.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  <w:rPr>
          <w:b/>
        </w:rPr>
      </w:pPr>
      <w:r w:rsidRPr="008B1E9C">
        <w:rPr>
          <w:b/>
        </w:rPr>
        <w:t xml:space="preserve">Web: </w:t>
      </w:r>
      <w:hyperlink r:id="rId16" w:history="1">
        <w:r w:rsidRPr="004F5199">
          <w:rPr>
            <w:rStyle w:val="Hypertextovprepojenie"/>
          </w:rPr>
          <w:t>http://ec.europa.eu/programmes/horizon2020/en/h2020-section/innovation-smes</w:t>
        </w:r>
      </w:hyperlink>
    </w:p>
    <w:p w:rsidR="00A1055C" w:rsidRDefault="00A1055C" w:rsidP="00A1055C"/>
    <w:p w:rsidR="00A1055C" w:rsidRDefault="00A1055C" w:rsidP="00A1055C">
      <w:pPr>
        <w:jc w:val="both"/>
      </w:pPr>
      <w:r>
        <w:t xml:space="preserve">Činnosti sa riadia programom zameraným na podniky. Rozpočty na osobitné ciele „Prístup k rizikovému financovaniu“ a „Inovácia v MSP“ sa budú riadiť zásadami vychádzajúcimi z dopytu a prístupom zdola nahor. Tieto rozpočty sú doplnené využívaním finančných nástrojov. Nástroj vyhradený pre MSP sa využíva predovšetkým na základe prístupu zdola nahor prispôsobeného potrebám MSP, a to s prihliadnutím na osobitné ciele priority „Spoločenské výzvy“ a osobitného cieľa „Vedúce postavenie v rámci podporných a priemyselných technológií“. </w:t>
      </w:r>
    </w:p>
    <w:p w:rsidR="00A1055C" w:rsidRDefault="00A1055C" w:rsidP="00A1055C">
      <w:pPr>
        <w:jc w:val="both"/>
      </w:pPr>
      <w:r>
        <w:t xml:space="preserve">Program Horizont 2020 zaujme integrovaný prístup k účasti MSP, a to s prihliadnutím okrem iného na ich potreby prenosu znalostí a technológií, ktorý by mal viesť k minimálne 20 % celkového kombinovaného rozpočtu na všetky osobitné ciele priority „Spoločenské výzvy“ a osobitný cieľ „Vedúce postavenie v rámci podporných a priemyselných technológií“ venovaných MSP. </w:t>
      </w:r>
    </w:p>
    <w:p w:rsidR="00A1055C" w:rsidRDefault="00A1055C" w:rsidP="00A1055C">
      <w:pPr>
        <w:jc w:val="both"/>
      </w:pPr>
      <w:r>
        <w:t>Osobitný cieľ „Vedúce postavenie v rámci podporných a priemyselných technológií“ sa riadi prístupom odvíjajúcim sa od technológií s cieľom vyvinúť podporné technológie, ktoré bude možné použiť vo viacerých oblastiach, v priemysle a službách. Uplatnenie týchto technológií pri riešení spoločenských výziev sa podporí spoločne s prioritou „Spoločenské výzvy“.</w:t>
      </w:r>
    </w:p>
    <w:p w:rsidR="00A1055C" w:rsidRDefault="00A1055C"/>
    <w:p w:rsidR="00A1055C" w:rsidRPr="008B1E9C" w:rsidRDefault="00A1055C">
      <w:pPr>
        <w:rPr>
          <w:b/>
          <w:sz w:val="28"/>
        </w:rPr>
      </w:pPr>
      <w:r w:rsidRPr="008B1E9C">
        <w:rPr>
          <w:b/>
          <w:sz w:val="28"/>
        </w:rPr>
        <w:t xml:space="preserve">Priorita </w:t>
      </w:r>
      <w:r w:rsidR="008B1E9C">
        <w:rPr>
          <w:b/>
          <w:sz w:val="28"/>
        </w:rPr>
        <w:t>Spoločenské výzvy</w:t>
      </w:r>
    </w:p>
    <w:p w:rsidR="00A1055C" w:rsidRDefault="00A1055C" w:rsidP="00A1055C">
      <w:r>
        <w:t xml:space="preserve">Táto časť reaguje priamo na politické priority a spoločenské výzvy vymedzené v stratégii Európa 2020 a jej cieľom je podnietiť dosiahnutie kritického množstva výskumného a inovačného úsilia potrebného na dosiahnutie cieľov politiky Únie. Financovanie sa zameria na tieto osobitné ciele: </w:t>
      </w:r>
    </w:p>
    <w:p w:rsidR="00A1055C" w:rsidRPr="00A1055C" w:rsidRDefault="00A1055C" w:rsidP="00A1055C">
      <w:pPr>
        <w:jc w:val="both"/>
        <w:rPr>
          <w:b/>
        </w:rPr>
      </w:pPr>
      <w:r>
        <w:t xml:space="preserve">a) </w:t>
      </w:r>
      <w:r w:rsidRPr="00A1055C">
        <w:rPr>
          <w:b/>
        </w:rPr>
        <w:t xml:space="preserve">zdravie, demografické zmeny a kvalita života; </w:t>
      </w:r>
    </w:p>
    <w:p w:rsidR="008B1E9C" w:rsidRPr="008B1E9C" w:rsidRDefault="004F5199" w:rsidP="008B1E9C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Web:</w:t>
      </w:r>
      <w:hyperlink r:id="rId17" w:history="1">
        <w:r w:rsidR="008B1E9C" w:rsidRPr="004F5199">
          <w:rPr>
            <w:rStyle w:val="Hypertextovprepojenie"/>
          </w:rPr>
          <w:t>http://ec.europa.eu/programmes/horizon2020/en/h2020-section/health-demographic-change-and-wellbeing</w:t>
        </w:r>
      </w:hyperlink>
    </w:p>
    <w:p w:rsidR="008B1E9C" w:rsidRDefault="008B1E9C" w:rsidP="00A1055C">
      <w:pPr>
        <w:jc w:val="both"/>
      </w:pPr>
    </w:p>
    <w:p w:rsidR="00A1055C" w:rsidRDefault="00A1055C" w:rsidP="00A1055C">
      <w:pPr>
        <w:jc w:val="both"/>
      </w:pPr>
      <w:r>
        <w:t xml:space="preserve">b) </w:t>
      </w:r>
      <w:r w:rsidRPr="00A1055C">
        <w:rPr>
          <w:b/>
        </w:rPr>
        <w:t>potravinová bezpečnosť, udržateľné poľnohospodárstvo a lesné hospodárstvo, morský a námorný výskum a výskum v oblasti vnútrozemských vôd a biohospodárstvo;</w:t>
      </w:r>
      <w:r>
        <w:t xml:space="preserve"> </w:t>
      </w:r>
    </w:p>
    <w:p w:rsidR="008B1E9C" w:rsidRPr="008B1E9C" w:rsidRDefault="004F5199" w:rsidP="008B1E9C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Web:</w:t>
      </w:r>
      <w:hyperlink r:id="rId18" w:history="1">
        <w:r w:rsidR="008B1E9C" w:rsidRPr="004F5199">
          <w:rPr>
            <w:rStyle w:val="Hypertextovprepojenie"/>
          </w:rPr>
          <w:t>http://ec.europa.eu/programmes/horizon2020/en/h2020-section/food-security-sustainable-agriculture-and-forestry-marine-maritime-and-inland-water</w:t>
        </w:r>
      </w:hyperlink>
    </w:p>
    <w:p w:rsidR="008B1E9C" w:rsidRDefault="008B1E9C" w:rsidP="00A1055C">
      <w:pPr>
        <w:jc w:val="both"/>
      </w:pPr>
    </w:p>
    <w:p w:rsidR="00A1055C" w:rsidRPr="00A1055C" w:rsidRDefault="00A1055C" w:rsidP="00A1055C">
      <w:pPr>
        <w:jc w:val="both"/>
        <w:rPr>
          <w:b/>
        </w:rPr>
      </w:pPr>
      <w:r>
        <w:lastRenderedPageBreak/>
        <w:t xml:space="preserve">c) </w:t>
      </w:r>
      <w:r w:rsidRPr="00A1055C">
        <w:rPr>
          <w:b/>
        </w:rPr>
        <w:t xml:space="preserve">bezpečná, čistá a efektívne využívaná energia; 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  <w:rPr>
          <w:b/>
        </w:rPr>
      </w:pPr>
      <w:r w:rsidRPr="008B1E9C">
        <w:rPr>
          <w:b/>
        </w:rPr>
        <w:t xml:space="preserve">Web: </w:t>
      </w:r>
      <w:hyperlink r:id="rId19" w:history="1">
        <w:r w:rsidRPr="004F5199">
          <w:rPr>
            <w:rStyle w:val="Hypertextovprepojenie"/>
          </w:rPr>
          <w:t>http://ec.europa.eu/programmes/horizon2020/en/h2020-section/secure-clean-and-efficient-energy</w:t>
        </w:r>
      </w:hyperlink>
    </w:p>
    <w:p w:rsidR="008B1E9C" w:rsidRDefault="008B1E9C" w:rsidP="00A1055C">
      <w:pPr>
        <w:jc w:val="both"/>
      </w:pPr>
    </w:p>
    <w:p w:rsidR="00A1055C" w:rsidRDefault="00A1055C" w:rsidP="00A1055C">
      <w:pPr>
        <w:jc w:val="both"/>
      </w:pPr>
      <w:r>
        <w:t xml:space="preserve">d) </w:t>
      </w:r>
      <w:r w:rsidRPr="00A1055C">
        <w:rPr>
          <w:b/>
        </w:rPr>
        <w:t>inteligentná, ekologická a integrovaná doprava;</w:t>
      </w:r>
      <w:r>
        <w:t xml:space="preserve"> 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  <w:rPr>
          <w:b/>
        </w:rPr>
      </w:pPr>
      <w:r w:rsidRPr="008B1E9C">
        <w:rPr>
          <w:b/>
        </w:rPr>
        <w:t xml:space="preserve">Web: </w:t>
      </w:r>
      <w:hyperlink r:id="rId20" w:history="1">
        <w:r w:rsidRPr="004F5199">
          <w:rPr>
            <w:rStyle w:val="Hypertextovprepojenie"/>
          </w:rPr>
          <w:t>http://ec.europa.eu/programmes/horizon2020/en/h2020-section/smart-green-and-integrated-transport</w:t>
        </w:r>
      </w:hyperlink>
    </w:p>
    <w:p w:rsidR="008B1E9C" w:rsidRDefault="008B1E9C" w:rsidP="00A1055C">
      <w:pPr>
        <w:jc w:val="both"/>
      </w:pPr>
    </w:p>
    <w:p w:rsidR="00A1055C" w:rsidRPr="00A1055C" w:rsidRDefault="00A1055C" w:rsidP="00A1055C">
      <w:pPr>
        <w:jc w:val="both"/>
        <w:rPr>
          <w:b/>
        </w:rPr>
      </w:pPr>
      <w:r>
        <w:t xml:space="preserve">e) </w:t>
      </w:r>
      <w:r w:rsidRPr="00A1055C">
        <w:rPr>
          <w:b/>
        </w:rPr>
        <w:t xml:space="preserve">opatrenia v oblasti klímy, životné prostredie, efektívne využívanie zdrojov a suroviny; </w:t>
      </w:r>
    </w:p>
    <w:p w:rsidR="008B1E9C" w:rsidRPr="008B1E9C" w:rsidRDefault="004F5199" w:rsidP="008B1E9C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Web:</w:t>
      </w:r>
      <w:hyperlink r:id="rId21" w:history="1">
        <w:r w:rsidR="008B1E9C" w:rsidRPr="004F5199">
          <w:rPr>
            <w:rStyle w:val="Hypertextovprepojenie"/>
          </w:rPr>
          <w:t>http://ec.europa.eu/programmes/horizon2020/en/h2020-section/climate-action-environment-resource-efficiency-and-raw-materials</w:t>
        </w:r>
      </w:hyperlink>
    </w:p>
    <w:p w:rsidR="008B1E9C" w:rsidRDefault="008B1E9C" w:rsidP="00A1055C">
      <w:pPr>
        <w:jc w:val="both"/>
      </w:pPr>
    </w:p>
    <w:p w:rsidR="00A1055C" w:rsidRDefault="00A1055C" w:rsidP="00A1055C">
      <w:pPr>
        <w:jc w:val="both"/>
      </w:pPr>
      <w:r>
        <w:t xml:space="preserve">f) </w:t>
      </w:r>
      <w:r w:rsidRPr="00A1055C">
        <w:rPr>
          <w:b/>
        </w:rPr>
        <w:t>Európa v meniacom sa svete</w:t>
      </w:r>
      <w:r>
        <w:t xml:space="preserve"> – inkluzívne, inovačné a reflexívne spoločnosti; 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  <w:rPr>
          <w:b/>
        </w:rPr>
      </w:pPr>
      <w:r w:rsidRPr="008B1E9C">
        <w:rPr>
          <w:b/>
        </w:rPr>
        <w:t xml:space="preserve">Web: </w:t>
      </w:r>
      <w:hyperlink r:id="rId22" w:history="1">
        <w:r w:rsidRPr="004F5199">
          <w:rPr>
            <w:rStyle w:val="Hypertextovprepojenie"/>
          </w:rPr>
          <w:t>http://ec.europa.eu/programmes/horizon2020/en/h2020-section/europe-changing-world-inclusive-innovative-and-reflective-societies</w:t>
        </w:r>
      </w:hyperlink>
    </w:p>
    <w:p w:rsidR="008B1E9C" w:rsidRDefault="008B1E9C" w:rsidP="00A1055C">
      <w:pPr>
        <w:jc w:val="both"/>
      </w:pPr>
    </w:p>
    <w:p w:rsidR="00A1055C" w:rsidRDefault="00A1055C" w:rsidP="00A1055C">
      <w:pPr>
        <w:jc w:val="both"/>
      </w:pPr>
      <w:r>
        <w:t xml:space="preserve">g) </w:t>
      </w:r>
      <w:r w:rsidRPr="00A1055C">
        <w:rPr>
          <w:b/>
        </w:rPr>
        <w:t>Bezpečné spoločnosti</w:t>
      </w:r>
      <w:r>
        <w:t xml:space="preserve"> – ochrana slobody a bezpečnosti Európy a jej občanov. 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  <w:rPr>
          <w:b/>
        </w:rPr>
      </w:pPr>
      <w:r w:rsidRPr="008B1E9C">
        <w:rPr>
          <w:b/>
        </w:rPr>
        <w:t xml:space="preserve">Web: </w:t>
      </w:r>
      <w:hyperlink r:id="rId23" w:history="1">
        <w:r w:rsidRPr="004F5199">
          <w:rPr>
            <w:rStyle w:val="Hypertextovprepojenie"/>
          </w:rPr>
          <w:t>http://ec.europa.eu/programmes/horizon2020/en/h2020-section/secure-societies-%E2%80%93-protecting-freedom-and-security-europe-and-its-citizens</w:t>
        </w:r>
      </w:hyperlink>
    </w:p>
    <w:p w:rsidR="00A1055C" w:rsidRDefault="00A1055C" w:rsidP="00A1055C">
      <w:pPr>
        <w:jc w:val="both"/>
      </w:pPr>
    </w:p>
    <w:p w:rsidR="00A1055C" w:rsidRDefault="00A1055C" w:rsidP="00A1055C">
      <w:pPr>
        <w:jc w:val="both"/>
      </w:pPr>
      <w:r>
        <w:t xml:space="preserve">V rámci všetkých činností sa uplatňuje prístup založený na výzvach, ktorý môže zahŕňať základný výskum, aplikovaný výskum, prenos znalostí alebo inováciu a zameriava sa na politické priority bez predurčovania presného výberu technológií alebo riešení, ktoré by sa mali rozvíjať. Okrem riešení vychádzajúcich z technológií sa pozornosť venuje aj netechnologickej, organizačnej a systémovej inovácii, ako aj inovácii v oblasti verejného sektora. Dôraz sa v záujme riešenia výziev kladie na zhromaždenie kritického množstva zdrojov a znalostí z rôznych oblastí, technológií, vedeckých odborov a vedeckých infraštruktúr. Činnosti pokrývajú celý cyklus od základného výskumu až po trh s novým zameraním na činnosti súvisiace s inováciou, ako sú napr. pilotné projekty, demonštračné činnosti, testovacie zariadenia, podpora verejného obstarávania, dizajn, inovácia orientovaná na konečného používateľa, sociálna inovácia, prenos </w:t>
      </w:r>
      <w:r>
        <w:cr/>
      </w:r>
    </w:p>
    <w:p w:rsidR="00A1055C" w:rsidRDefault="00A1055C"/>
    <w:p w:rsidR="008B1E9C" w:rsidRDefault="008B1E9C"/>
    <w:p w:rsidR="008B1E9C" w:rsidRPr="008B1E9C" w:rsidRDefault="008B1E9C">
      <w:pPr>
        <w:rPr>
          <w:b/>
          <w:sz w:val="28"/>
        </w:rPr>
      </w:pPr>
      <w:r w:rsidRPr="008B1E9C">
        <w:rPr>
          <w:b/>
          <w:sz w:val="28"/>
        </w:rPr>
        <w:lastRenderedPageBreak/>
        <w:t>Osobitné ciele</w:t>
      </w:r>
    </w:p>
    <w:p w:rsidR="008B1E9C" w:rsidRDefault="008B1E9C"/>
    <w:p w:rsidR="008B1E9C" w:rsidRPr="008B1E9C" w:rsidRDefault="008B1E9C" w:rsidP="008B1E9C">
      <w:pPr>
        <w:rPr>
          <w:b/>
        </w:rPr>
      </w:pPr>
      <w:r w:rsidRPr="008B1E9C">
        <w:rPr>
          <w:b/>
        </w:rPr>
        <w:t xml:space="preserve">OSOBITNÝ CIEĽ „ŠÍRENIE EXCELENTNOSTI A ROZŠIROVANIE ÚČASTI“ </w:t>
      </w:r>
    </w:p>
    <w:p w:rsidR="008B1E9C" w:rsidRDefault="008B1E9C" w:rsidP="008B1E9C">
      <w:pPr>
        <w:jc w:val="both"/>
      </w:pPr>
      <w:r>
        <w:t xml:space="preserve">Osobitným cieľom „Šírenie excelentnosti a rozširovanie účasti“ sa má plne využiť potenciál fondu európskych talentov a zabezpečiť maximalizáciu a široké rozdelenie prínosov hospodárstva založeného na inovácii v celej Únii v súlade so zásadou excelentnosti. 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</w:pPr>
      <w:r w:rsidRPr="008B1E9C">
        <w:rPr>
          <w:b/>
        </w:rPr>
        <w:t>Web:</w:t>
      </w:r>
      <w:hyperlink r:id="rId24" w:history="1">
        <w:r w:rsidRPr="004F5199">
          <w:rPr>
            <w:rStyle w:val="Hypertextovprepojenie"/>
          </w:rPr>
          <w:t>http://ec.europa.eu/programmes/horizon2020/en/h2020-section/spreading-excellence-and-widening-participation</w:t>
        </w:r>
      </w:hyperlink>
    </w:p>
    <w:p w:rsidR="008B1E9C" w:rsidRDefault="008B1E9C" w:rsidP="008B1E9C">
      <w:pPr>
        <w:pStyle w:val="Odsekzoznamu"/>
        <w:jc w:val="both"/>
      </w:pPr>
    </w:p>
    <w:p w:rsidR="008B1E9C" w:rsidRPr="008B1E9C" w:rsidRDefault="008B1E9C" w:rsidP="008B1E9C">
      <w:pPr>
        <w:jc w:val="both"/>
        <w:rPr>
          <w:b/>
        </w:rPr>
      </w:pPr>
      <w:r w:rsidRPr="008B1E9C">
        <w:rPr>
          <w:b/>
        </w:rPr>
        <w:t xml:space="preserve">OSOBITNÝ CIEĽ „VEDA SO SPOLOČNOSŤOU A PRE SPOLOČNOSŤ“ </w:t>
      </w:r>
    </w:p>
    <w:p w:rsidR="008B1E9C" w:rsidRDefault="008B1E9C" w:rsidP="008B1E9C">
      <w:pPr>
        <w:jc w:val="both"/>
      </w:pPr>
      <w:r>
        <w:t>Osobitným cieľom „Veda so spoločnosťou a pre spoločnosť“ sa sleduje budovanie účinnej spolupráce medzi vedou a spoločnosťou, získavanie nových talentov pre vedu a spojenie vedeckej excelentnosti so sociálnym povedomím a zodpovednosťou.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</w:pPr>
      <w:r w:rsidRPr="008B1E9C">
        <w:rPr>
          <w:b/>
        </w:rPr>
        <w:t>Web:</w:t>
      </w:r>
      <w:r>
        <w:rPr>
          <w:b/>
        </w:rPr>
        <w:t xml:space="preserve"> </w:t>
      </w:r>
      <w:hyperlink r:id="rId25" w:history="1">
        <w:r w:rsidRPr="004F5199">
          <w:rPr>
            <w:rStyle w:val="Hypertextovprepojenie"/>
          </w:rPr>
          <w:t>http://ec.europa.eu/programmes/horizon2020/en/h2020-section/science-and-society</w:t>
        </w:r>
      </w:hyperlink>
    </w:p>
    <w:p w:rsidR="008B1E9C" w:rsidRDefault="008B1E9C" w:rsidP="008B1E9C">
      <w:pPr>
        <w:jc w:val="both"/>
      </w:pPr>
    </w:p>
    <w:p w:rsidR="008B1E9C" w:rsidRPr="008B1E9C" w:rsidRDefault="008B1E9C" w:rsidP="008B1E9C">
      <w:pPr>
        <w:jc w:val="both"/>
        <w:rPr>
          <w:b/>
        </w:rPr>
      </w:pPr>
      <w:r w:rsidRPr="008B1E9C">
        <w:rPr>
          <w:b/>
        </w:rPr>
        <w:t xml:space="preserve">NEJADROVÉ PRIAME OPATRENIA SPOLOČNÉHO VÝSKUMNÉHO CENTRA </w:t>
      </w:r>
    </w:p>
    <w:p w:rsidR="008B1E9C" w:rsidRDefault="008B1E9C" w:rsidP="008B1E9C">
      <w:pPr>
        <w:jc w:val="both"/>
        <w:rPr>
          <w:b/>
        </w:rPr>
      </w:pPr>
      <w:r>
        <w:t xml:space="preserve">Neoddeliteľnou súčasťou programu Horizont 2020 sú činnosti Spoločného výskumného centra s cieľom poskytnúť pevnú podporu politík Únie založenú na faktoch. Táto podpora sa odvíja od potrieb klientov a dopĺňajú ju činnosti zamerané na budúcnosť. 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</w:pPr>
      <w:r w:rsidRPr="008B1E9C">
        <w:rPr>
          <w:b/>
        </w:rPr>
        <w:t>Web:</w:t>
      </w:r>
      <w:r>
        <w:rPr>
          <w:b/>
        </w:rPr>
        <w:t xml:space="preserve"> </w:t>
      </w:r>
      <w:hyperlink r:id="rId26" w:history="1">
        <w:r w:rsidRPr="004F5199">
          <w:rPr>
            <w:rStyle w:val="Hypertextovprepojenie"/>
          </w:rPr>
          <w:t>http://ec.europa.eu/programmes/horizon2020/en/h2020-section/european-institute-innovation-and-technology-eit</w:t>
        </w:r>
      </w:hyperlink>
    </w:p>
    <w:p w:rsidR="008B1E9C" w:rsidRDefault="008B1E9C" w:rsidP="008B1E9C">
      <w:pPr>
        <w:jc w:val="both"/>
      </w:pPr>
    </w:p>
    <w:p w:rsidR="008B1E9C" w:rsidRPr="008B1E9C" w:rsidRDefault="008B1E9C" w:rsidP="008B1E9C">
      <w:pPr>
        <w:jc w:val="both"/>
        <w:rPr>
          <w:b/>
        </w:rPr>
      </w:pPr>
      <w:r w:rsidRPr="008B1E9C">
        <w:rPr>
          <w:b/>
        </w:rPr>
        <w:t xml:space="preserve">EURÓPSKY INOVAČNÝ A TECHNOLOGICKÝ INŠTITÚT (EIT) </w:t>
      </w:r>
    </w:p>
    <w:p w:rsidR="008B1E9C" w:rsidRDefault="008B1E9C" w:rsidP="008B1E9C">
      <w:pPr>
        <w:jc w:val="both"/>
      </w:pPr>
      <w:r>
        <w:t>Významnú úlohu zohráva EIT, ktorý spája excelentný výskum, inováciu a vysokoškolské vzdelávanie, a tak integruje vedomostný trojuholník. EIT to dosahuje najmä prostredníctvom ZIS. Okrem toho zabezpečuje, aby sa skúsenosti vymieňali medzi ZIS a nad ich rámec prostredníctvom cielených opatrení zameraných na šírenie a výmenu znalostí, a tak sa podporovalo rýchlejšie zavádzanie inovačných modelov v rámci Únie.</w:t>
      </w:r>
    </w:p>
    <w:p w:rsidR="008B1E9C" w:rsidRPr="008B1E9C" w:rsidRDefault="008B1E9C" w:rsidP="008B1E9C">
      <w:pPr>
        <w:pStyle w:val="Odsekzoznamu"/>
        <w:numPr>
          <w:ilvl w:val="0"/>
          <w:numId w:val="1"/>
        </w:numPr>
        <w:jc w:val="both"/>
      </w:pPr>
      <w:r w:rsidRPr="008B1E9C">
        <w:rPr>
          <w:b/>
        </w:rPr>
        <w:t>Web:</w:t>
      </w:r>
      <w:r>
        <w:rPr>
          <w:b/>
        </w:rPr>
        <w:t xml:space="preserve"> </w:t>
      </w:r>
      <w:hyperlink r:id="rId27" w:history="1">
        <w:r w:rsidRPr="004F5199">
          <w:rPr>
            <w:rStyle w:val="Hypertextovprepojenie"/>
          </w:rPr>
          <w:t>http://ec.europa.eu/programmes/horizon2020/en/h2020-section/euratom</w:t>
        </w:r>
      </w:hyperlink>
    </w:p>
    <w:p w:rsidR="008B1E9C" w:rsidRDefault="008B1E9C" w:rsidP="008B1E9C">
      <w:pPr>
        <w:jc w:val="both"/>
      </w:pPr>
    </w:p>
    <w:p w:rsidR="008B1E9C" w:rsidRDefault="008B1E9C" w:rsidP="008B1E9C">
      <w:pPr>
        <w:jc w:val="both"/>
      </w:pPr>
      <w:r>
        <w:t>Zdroj: Nariadenie Európskeho parlamentu a R</w:t>
      </w:r>
      <w:r w:rsidRPr="00A1055C">
        <w:t>ady (</w:t>
      </w:r>
      <w:r>
        <w:t>EÚ</w:t>
      </w:r>
      <w:r w:rsidRPr="00A1055C">
        <w:t xml:space="preserve">) č. </w:t>
      </w:r>
      <w:r>
        <w:t xml:space="preserve">1291/2013, ktorým sa </w:t>
      </w:r>
      <w:r w:rsidRPr="00A1055C">
        <w:rPr>
          <w:b/>
        </w:rPr>
        <w:t>zriaďuje program Horizont 2020</w:t>
      </w:r>
      <w:r>
        <w:t xml:space="preserve"> – rámcový program pre výskum a inováciu (2014 – 2020) a zrušuje rozhodnutie č. 1982/2006/ES</w:t>
      </w:r>
    </w:p>
    <w:p w:rsidR="00F53EFF" w:rsidRPr="00F53EFF" w:rsidRDefault="00F53EFF" w:rsidP="008B1E9C">
      <w:pPr>
        <w:jc w:val="both"/>
        <w:rPr>
          <w:b/>
          <w:sz w:val="32"/>
        </w:rPr>
      </w:pPr>
      <w:r w:rsidRPr="00F53EFF">
        <w:rPr>
          <w:b/>
          <w:sz w:val="32"/>
        </w:rPr>
        <w:lastRenderedPageBreak/>
        <w:t>Výzvy v rámci priorít</w:t>
      </w:r>
    </w:p>
    <w:p w:rsidR="00F53EFF" w:rsidRDefault="00F53EFF" w:rsidP="008B1E9C">
      <w:pPr>
        <w:jc w:val="both"/>
      </w:pPr>
    </w:p>
    <w:p w:rsidR="00F53EFF" w:rsidRPr="00A1055C" w:rsidRDefault="00F53EFF" w:rsidP="00F53EFF">
      <w:pPr>
        <w:rPr>
          <w:b/>
          <w:sz w:val="28"/>
        </w:rPr>
      </w:pPr>
      <w:r w:rsidRPr="00A1055C">
        <w:rPr>
          <w:b/>
          <w:sz w:val="28"/>
        </w:rPr>
        <w:t>Priorita Excelentná veda</w:t>
      </w:r>
    </w:p>
    <w:p w:rsidR="00F53EFF" w:rsidRPr="00F53EFF" w:rsidRDefault="00F53EFF" w:rsidP="00F53EFF">
      <w:pPr>
        <w:pStyle w:val="Odsekzoznamu"/>
        <w:numPr>
          <w:ilvl w:val="0"/>
          <w:numId w:val="2"/>
        </w:numPr>
        <w:jc w:val="both"/>
      </w:pPr>
      <w:r>
        <w:t>Európska rada pre výskum (ERC)</w:t>
      </w:r>
    </w:p>
    <w:p w:rsidR="00F53EFF" w:rsidRPr="00F53EFF" w:rsidRDefault="00F53EFF" w:rsidP="00F53EFF">
      <w:pPr>
        <w:ind w:left="708"/>
        <w:jc w:val="both"/>
      </w:pPr>
    </w:p>
    <w:p w:rsidR="00F53EFF" w:rsidRPr="00F53EFF" w:rsidRDefault="00F53EFF" w:rsidP="00F53EFF">
      <w:pPr>
        <w:pStyle w:val="Odsekzoznamu"/>
        <w:numPr>
          <w:ilvl w:val="0"/>
          <w:numId w:val="2"/>
        </w:numPr>
        <w:jc w:val="both"/>
      </w:pPr>
      <w:r w:rsidRPr="00F53EFF">
        <w:t>Technológie budúcnosti</w:t>
      </w:r>
      <w:r>
        <w:t xml:space="preserve"> a vznikajúce technológie (FET)</w:t>
      </w:r>
    </w:p>
    <w:p w:rsidR="00F53EFF" w:rsidRDefault="00F53EFF" w:rsidP="00F53EFF">
      <w:pPr>
        <w:ind w:left="708"/>
        <w:jc w:val="both"/>
      </w:pPr>
    </w:p>
    <w:p w:rsidR="00F53EFF" w:rsidRPr="00F53EFF" w:rsidRDefault="00F53EFF" w:rsidP="00F53EFF">
      <w:pPr>
        <w:pStyle w:val="Odsekzoznamu"/>
        <w:numPr>
          <w:ilvl w:val="0"/>
          <w:numId w:val="2"/>
        </w:numPr>
        <w:jc w:val="both"/>
      </w:pPr>
      <w:r w:rsidRPr="00F53EFF">
        <w:t>Opatrenia v rámci Marie Skłodowska-Curie</w:t>
      </w:r>
    </w:p>
    <w:p w:rsidR="00F53EFF" w:rsidRDefault="00F53EFF" w:rsidP="00F53EFF">
      <w:pPr>
        <w:ind w:left="708"/>
        <w:jc w:val="both"/>
      </w:pPr>
    </w:p>
    <w:p w:rsidR="00F53EFF" w:rsidRDefault="00F53EFF" w:rsidP="00F53EFF">
      <w:pPr>
        <w:pStyle w:val="Odsekzoznamu"/>
        <w:numPr>
          <w:ilvl w:val="0"/>
          <w:numId w:val="2"/>
        </w:numPr>
        <w:jc w:val="both"/>
      </w:pPr>
      <w:r>
        <w:t>Výskumné infraštruktúry</w:t>
      </w:r>
    </w:p>
    <w:p w:rsidR="00F53EFF" w:rsidRDefault="00F53EFF" w:rsidP="008B1E9C">
      <w:pPr>
        <w:jc w:val="both"/>
      </w:pPr>
    </w:p>
    <w:p w:rsidR="00F53EFF" w:rsidRDefault="00F53EFF" w:rsidP="008B1E9C">
      <w:pPr>
        <w:jc w:val="both"/>
      </w:pPr>
    </w:p>
    <w:p w:rsidR="00F53EFF" w:rsidRPr="00A1055C" w:rsidRDefault="00F53EFF" w:rsidP="00F53EFF">
      <w:pPr>
        <w:rPr>
          <w:b/>
          <w:sz w:val="28"/>
        </w:rPr>
      </w:pPr>
      <w:r w:rsidRPr="00A1055C">
        <w:rPr>
          <w:b/>
          <w:sz w:val="28"/>
        </w:rPr>
        <w:t>Priorita Vedúce postavenie priemyslu</w:t>
      </w:r>
    </w:p>
    <w:p w:rsidR="00F53EFF" w:rsidRDefault="00F53EFF" w:rsidP="00F53EFF">
      <w:pPr>
        <w:pStyle w:val="Odsekzoznamu"/>
        <w:numPr>
          <w:ilvl w:val="0"/>
          <w:numId w:val="2"/>
        </w:numPr>
        <w:jc w:val="both"/>
      </w:pPr>
      <w:r w:rsidRPr="00F53EFF">
        <w:t>Vedúce postavenie v rámci podporných a priemyselných technológií</w:t>
      </w:r>
    </w:p>
    <w:p w:rsidR="00F53EFF" w:rsidRDefault="00F53EFF" w:rsidP="00F53EFF">
      <w:pPr>
        <w:pStyle w:val="Odsekzoznamu"/>
        <w:numPr>
          <w:ilvl w:val="1"/>
          <w:numId w:val="2"/>
        </w:numPr>
        <w:jc w:val="both"/>
      </w:pPr>
      <w:r>
        <w:t>Informačné a komunikačné technológie</w:t>
      </w:r>
    </w:p>
    <w:p w:rsidR="00F53EFF" w:rsidRPr="004F5199" w:rsidRDefault="004F5199" w:rsidP="00F53EFF">
      <w:pPr>
        <w:pStyle w:val="Odsekzoznamu"/>
        <w:numPr>
          <w:ilvl w:val="0"/>
          <w:numId w:val="3"/>
        </w:numPr>
        <w:jc w:val="both"/>
        <w:rPr>
          <w:b/>
        </w:rPr>
      </w:pPr>
      <w:hyperlink r:id="rId28" w:history="1">
        <w:r w:rsidR="00F53EFF" w:rsidRPr="004F5199">
          <w:rPr>
            <w:rStyle w:val="Hypertextovprepojenie"/>
            <w:b/>
          </w:rPr>
          <w:t>Továrne budúcnosti (Factories of the future)</w:t>
        </w:r>
      </w:hyperlink>
    </w:p>
    <w:p w:rsidR="00F53EFF" w:rsidRDefault="00F53EFF" w:rsidP="00F53EFF">
      <w:pPr>
        <w:pStyle w:val="Odsekzoznamu"/>
        <w:ind w:left="2868"/>
        <w:jc w:val="both"/>
      </w:pPr>
    </w:p>
    <w:p w:rsidR="00F53EFF" w:rsidRDefault="00F53EFF" w:rsidP="00F53EFF">
      <w:pPr>
        <w:pStyle w:val="Odsekzoznamu"/>
        <w:numPr>
          <w:ilvl w:val="1"/>
          <w:numId w:val="2"/>
        </w:numPr>
        <w:jc w:val="both"/>
      </w:pPr>
      <w:r>
        <w:t>Nanotechnológie, moderné materiály</w:t>
      </w:r>
      <w:r w:rsidRPr="00F53EFF">
        <w:t xml:space="preserve">, </w:t>
      </w:r>
      <w:r>
        <w:t>moderná výroba a spracovanie a biotechnológie</w:t>
      </w:r>
    </w:p>
    <w:p w:rsidR="00F53EFF" w:rsidRPr="004F5199" w:rsidRDefault="004F5199" w:rsidP="00F53EFF">
      <w:pPr>
        <w:pStyle w:val="Odsekzoznamu"/>
        <w:numPr>
          <w:ilvl w:val="0"/>
          <w:numId w:val="3"/>
        </w:numPr>
        <w:jc w:val="both"/>
        <w:rPr>
          <w:b/>
        </w:rPr>
      </w:pPr>
      <w:hyperlink r:id="rId29" w:history="1">
        <w:r w:rsidR="00F53EFF" w:rsidRPr="004F5199">
          <w:rPr>
            <w:rStyle w:val="Hypertextovprepojenie"/>
            <w:b/>
          </w:rPr>
          <w:t>Prehľad</w:t>
        </w:r>
      </w:hyperlink>
    </w:p>
    <w:p w:rsidR="00F53EFF" w:rsidRDefault="00F53EFF" w:rsidP="00F53EFF">
      <w:pPr>
        <w:pStyle w:val="Odsekzoznamu"/>
        <w:ind w:left="2148"/>
        <w:jc w:val="both"/>
      </w:pPr>
    </w:p>
    <w:p w:rsidR="00F53EFF" w:rsidRPr="00F53EFF" w:rsidRDefault="00F53EFF" w:rsidP="00F53EFF">
      <w:pPr>
        <w:pStyle w:val="Odsekzoznamu"/>
        <w:numPr>
          <w:ilvl w:val="1"/>
          <w:numId w:val="2"/>
        </w:numPr>
        <w:jc w:val="both"/>
      </w:pPr>
      <w:r>
        <w:t>Vesmír</w:t>
      </w:r>
    </w:p>
    <w:p w:rsidR="00F53EFF" w:rsidRDefault="00F53EFF" w:rsidP="00F53EFF">
      <w:pPr>
        <w:pStyle w:val="Odsekzoznamu"/>
        <w:ind w:left="1428"/>
        <w:jc w:val="both"/>
      </w:pPr>
    </w:p>
    <w:p w:rsidR="00F53EFF" w:rsidRPr="00F53EFF" w:rsidRDefault="00F53EFF" w:rsidP="00F53EFF">
      <w:pPr>
        <w:pStyle w:val="Odsekzoznamu"/>
        <w:numPr>
          <w:ilvl w:val="0"/>
          <w:numId w:val="2"/>
        </w:numPr>
        <w:jc w:val="both"/>
      </w:pPr>
      <w:r w:rsidRPr="00F53EFF">
        <w:t>Pr</w:t>
      </w:r>
      <w:r>
        <w:t>ístup k rizikovému financovaniu</w:t>
      </w:r>
    </w:p>
    <w:p w:rsidR="00F53EFF" w:rsidRDefault="00F53EFF" w:rsidP="00F53EFF">
      <w:pPr>
        <w:ind w:left="708"/>
        <w:jc w:val="both"/>
      </w:pPr>
    </w:p>
    <w:p w:rsidR="00F53EFF" w:rsidRDefault="00F53EFF" w:rsidP="00F53EFF">
      <w:pPr>
        <w:pStyle w:val="Odsekzoznamu"/>
        <w:numPr>
          <w:ilvl w:val="0"/>
          <w:numId w:val="2"/>
        </w:numPr>
        <w:jc w:val="both"/>
      </w:pPr>
      <w:r w:rsidRPr="00F53EFF">
        <w:t>Inovácia</w:t>
      </w:r>
      <w:r>
        <w:t xml:space="preserve"> v malých a stredných podnikoch </w:t>
      </w:r>
    </w:p>
    <w:p w:rsidR="00F53EFF" w:rsidRDefault="00F53EFF" w:rsidP="00F53EFF"/>
    <w:p w:rsidR="00F53EFF" w:rsidRPr="008B1E9C" w:rsidRDefault="00F53EFF" w:rsidP="00F53EFF">
      <w:pPr>
        <w:rPr>
          <w:b/>
          <w:sz w:val="28"/>
        </w:rPr>
      </w:pPr>
      <w:r w:rsidRPr="008B1E9C">
        <w:rPr>
          <w:b/>
          <w:sz w:val="28"/>
        </w:rPr>
        <w:t xml:space="preserve">Priorita </w:t>
      </w:r>
      <w:r>
        <w:rPr>
          <w:b/>
          <w:sz w:val="28"/>
        </w:rPr>
        <w:t>Spoločenské výzvy</w:t>
      </w:r>
    </w:p>
    <w:p w:rsidR="00F53EFF" w:rsidRPr="00F53EFF" w:rsidRDefault="00F53EFF" w:rsidP="00F53EFF">
      <w:pPr>
        <w:pStyle w:val="Odsekzoznamu"/>
        <w:numPr>
          <w:ilvl w:val="0"/>
          <w:numId w:val="2"/>
        </w:numPr>
        <w:jc w:val="both"/>
      </w:pPr>
      <w:r w:rsidRPr="00F53EFF">
        <w:t xml:space="preserve">zdravie, demografické zmeny a kvalita života; </w:t>
      </w:r>
    </w:p>
    <w:p w:rsidR="00F53EFF" w:rsidRDefault="00F53EFF" w:rsidP="00F53EFF">
      <w:pPr>
        <w:pStyle w:val="Odsekzoznamu"/>
        <w:ind w:left="1428"/>
        <w:jc w:val="both"/>
      </w:pPr>
    </w:p>
    <w:p w:rsidR="00F53EFF" w:rsidRDefault="00F53EFF" w:rsidP="00F53EFF">
      <w:pPr>
        <w:pStyle w:val="Odsekzoznamu"/>
        <w:numPr>
          <w:ilvl w:val="0"/>
          <w:numId w:val="2"/>
        </w:numPr>
        <w:jc w:val="both"/>
      </w:pPr>
      <w:r w:rsidRPr="00F53EFF">
        <w:lastRenderedPageBreak/>
        <w:t>potravinová bezpečnosť, udržateľné poľnohospodárstvo a lesné hospodárstvo, morský a námorný výskum a výskum v oblasti vnútrozemských vôd a biohospodárstvo;</w:t>
      </w:r>
      <w:r>
        <w:t xml:space="preserve"> </w:t>
      </w:r>
    </w:p>
    <w:p w:rsidR="00F53EFF" w:rsidRDefault="00F53EFF" w:rsidP="00F53EFF">
      <w:pPr>
        <w:pStyle w:val="Odsekzoznamu"/>
        <w:ind w:left="1428"/>
        <w:jc w:val="both"/>
      </w:pPr>
    </w:p>
    <w:p w:rsidR="00F53EFF" w:rsidRPr="00F53EFF" w:rsidRDefault="00F53EFF" w:rsidP="00F53EFF">
      <w:pPr>
        <w:pStyle w:val="Odsekzoznamu"/>
        <w:numPr>
          <w:ilvl w:val="0"/>
          <w:numId w:val="2"/>
        </w:numPr>
        <w:jc w:val="both"/>
      </w:pPr>
      <w:r w:rsidRPr="00F53EFF">
        <w:t xml:space="preserve">bezpečná, čistá a efektívne využívaná energia; </w:t>
      </w:r>
    </w:p>
    <w:p w:rsidR="00F53EFF" w:rsidRDefault="00F53EFF" w:rsidP="00F53EFF">
      <w:pPr>
        <w:pStyle w:val="Odsekzoznamu"/>
        <w:ind w:left="1428"/>
        <w:jc w:val="both"/>
      </w:pPr>
    </w:p>
    <w:p w:rsidR="00F53EFF" w:rsidRPr="004F5199" w:rsidRDefault="004F5199" w:rsidP="00F53EFF">
      <w:pPr>
        <w:pStyle w:val="Odsekzoznamu"/>
        <w:numPr>
          <w:ilvl w:val="0"/>
          <w:numId w:val="3"/>
        </w:numPr>
        <w:ind w:left="2268" w:hanging="425"/>
        <w:jc w:val="both"/>
        <w:rPr>
          <w:b/>
        </w:rPr>
      </w:pPr>
      <w:hyperlink r:id="rId30" w:history="1">
        <w:r w:rsidR="00F53EFF" w:rsidRPr="004F5199">
          <w:rPr>
            <w:rStyle w:val="Hypertextovprepojenie"/>
            <w:b/>
          </w:rPr>
          <w:t>Inteligentné mestá a spoločenstvá</w:t>
        </w:r>
      </w:hyperlink>
    </w:p>
    <w:p w:rsidR="00F53EFF" w:rsidRDefault="00F53EFF" w:rsidP="00F53EFF">
      <w:pPr>
        <w:pStyle w:val="Odsekzoznamu"/>
        <w:ind w:left="1428"/>
        <w:jc w:val="both"/>
      </w:pPr>
    </w:p>
    <w:p w:rsidR="00F53EFF" w:rsidRDefault="00F53EFF" w:rsidP="00F53EFF">
      <w:pPr>
        <w:pStyle w:val="Odsekzoznamu"/>
        <w:ind w:left="1428"/>
        <w:jc w:val="both"/>
      </w:pPr>
    </w:p>
    <w:p w:rsidR="00F53EFF" w:rsidRDefault="00F53EFF" w:rsidP="00F53EFF">
      <w:pPr>
        <w:pStyle w:val="Odsekzoznamu"/>
        <w:numPr>
          <w:ilvl w:val="0"/>
          <w:numId w:val="2"/>
        </w:numPr>
        <w:jc w:val="both"/>
      </w:pPr>
      <w:r w:rsidRPr="00F53EFF">
        <w:t>inteligentná, ekologická a integrovaná doprava;</w:t>
      </w:r>
      <w:r>
        <w:t xml:space="preserve"> </w:t>
      </w:r>
    </w:p>
    <w:p w:rsidR="00F53EFF" w:rsidRDefault="00F53EFF" w:rsidP="00F53EFF">
      <w:pPr>
        <w:pStyle w:val="Odsekzoznamu"/>
      </w:pPr>
    </w:p>
    <w:p w:rsidR="00F53EFF" w:rsidRPr="004F5199" w:rsidRDefault="004F5199" w:rsidP="00F53EFF">
      <w:pPr>
        <w:pStyle w:val="Odsekzoznamu"/>
        <w:numPr>
          <w:ilvl w:val="2"/>
          <w:numId w:val="1"/>
        </w:numPr>
        <w:jc w:val="both"/>
        <w:rPr>
          <w:b/>
        </w:rPr>
      </w:pPr>
      <w:hyperlink r:id="rId31" w:history="1">
        <w:r w:rsidR="00F53EFF" w:rsidRPr="004F5199">
          <w:rPr>
            <w:rStyle w:val="Hypertextovprepojenie"/>
            <w:b/>
          </w:rPr>
          <w:t>„Ekologické vozidlá (green vehicles)“</w:t>
        </w:r>
      </w:hyperlink>
      <w:bookmarkStart w:id="0" w:name="_GoBack"/>
      <w:bookmarkEnd w:id="0"/>
    </w:p>
    <w:p w:rsidR="00F53EFF" w:rsidRDefault="00F53EFF" w:rsidP="00F53EFF">
      <w:pPr>
        <w:pStyle w:val="Odsekzoznamu"/>
        <w:ind w:left="1428"/>
        <w:jc w:val="both"/>
      </w:pPr>
    </w:p>
    <w:p w:rsidR="00F53EFF" w:rsidRPr="00F53EFF" w:rsidRDefault="00F53EFF" w:rsidP="00F53EFF">
      <w:pPr>
        <w:pStyle w:val="Odsekzoznamu"/>
        <w:numPr>
          <w:ilvl w:val="0"/>
          <w:numId w:val="2"/>
        </w:numPr>
        <w:jc w:val="both"/>
      </w:pPr>
      <w:r>
        <w:t>o</w:t>
      </w:r>
      <w:r w:rsidRPr="00F53EFF">
        <w:t xml:space="preserve">patrenia v oblasti klímy, životné prostredie, efektívne využívanie zdrojov a suroviny; </w:t>
      </w:r>
    </w:p>
    <w:p w:rsidR="00F53EFF" w:rsidRDefault="00F53EFF" w:rsidP="00F53EFF">
      <w:pPr>
        <w:pStyle w:val="Odsekzoznamu"/>
        <w:ind w:left="1428"/>
        <w:jc w:val="both"/>
      </w:pPr>
    </w:p>
    <w:p w:rsidR="00F53EFF" w:rsidRDefault="00F53EFF" w:rsidP="00F53EFF">
      <w:pPr>
        <w:pStyle w:val="Odsekzoznamu"/>
        <w:numPr>
          <w:ilvl w:val="0"/>
          <w:numId w:val="2"/>
        </w:numPr>
        <w:jc w:val="both"/>
      </w:pPr>
      <w:r w:rsidRPr="00F53EFF">
        <w:t>Európa v meniacom sa svete</w:t>
      </w:r>
      <w:r>
        <w:t xml:space="preserve"> </w:t>
      </w:r>
    </w:p>
    <w:p w:rsidR="00F53EFF" w:rsidRDefault="00F53EFF" w:rsidP="00F53EFF">
      <w:pPr>
        <w:pStyle w:val="Odsekzoznamu"/>
        <w:ind w:left="1428"/>
        <w:jc w:val="both"/>
      </w:pPr>
    </w:p>
    <w:p w:rsidR="00F53EFF" w:rsidRDefault="00F53EFF" w:rsidP="00F53EFF">
      <w:pPr>
        <w:pStyle w:val="Odsekzoznamu"/>
        <w:numPr>
          <w:ilvl w:val="0"/>
          <w:numId w:val="2"/>
        </w:numPr>
        <w:jc w:val="both"/>
      </w:pPr>
      <w:r w:rsidRPr="00F53EFF">
        <w:t>Bezpečné spoločnosti</w:t>
      </w:r>
      <w:r>
        <w:t xml:space="preserve"> </w:t>
      </w:r>
    </w:p>
    <w:p w:rsidR="00F53EFF" w:rsidRDefault="00F53EFF" w:rsidP="008B1E9C">
      <w:pPr>
        <w:jc w:val="both"/>
      </w:pPr>
    </w:p>
    <w:sectPr w:rsidR="00F5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58B2"/>
    <w:multiLevelType w:val="hybridMultilevel"/>
    <w:tmpl w:val="21CE6386"/>
    <w:lvl w:ilvl="0" w:tplc="041B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63E81491"/>
    <w:multiLevelType w:val="hybridMultilevel"/>
    <w:tmpl w:val="862A5B68"/>
    <w:lvl w:ilvl="0" w:tplc="51B2A55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2148" w:hanging="360"/>
      </w:pPr>
      <w:rPr>
        <w:b/>
      </w:r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9A6469"/>
    <w:multiLevelType w:val="hybridMultilevel"/>
    <w:tmpl w:val="B1AC8E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5C"/>
    <w:rsid w:val="0041388F"/>
    <w:rsid w:val="004F5199"/>
    <w:rsid w:val="008B1E9C"/>
    <w:rsid w:val="00A1055C"/>
    <w:rsid w:val="00BB0B4A"/>
    <w:rsid w:val="00DC7FF6"/>
    <w:rsid w:val="00F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3E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1E9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B1E9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51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3E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1E9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B1E9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5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.europa.eu/programmes/horizon2020/en/h2020-section/nanotechnologies-advanced-materials-advanced-manufacturing-and-processing-and" TargetMode="External"/><Relationship Id="rId18" Type="http://schemas.openxmlformats.org/officeDocument/2006/relationships/hyperlink" Target="http://ec.europa.eu/programmes/horizon2020/en/h2020-section/food-security-sustainable-agriculture-and-forestry-marine-maritime-and-inland-water" TargetMode="External"/><Relationship Id="rId26" Type="http://schemas.openxmlformats.org/officeDocument/2006/relationships/hyperlink" Target="http://ec.europa.eu/programmes/horizon2020/en/h2020-section/european-institute-innovation-and-technology-ei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c.europa.eu/programmes/horizon2020/en/h2020-section/climate-action-environment-resource-efficiency-and-raw-materials" TargetMode="External"/><Relationship Id="rId7" Type="http://schemas.openxmlformats.org/officeDocument/2006/relationships/hyperlink" Target="http://ec.europa.eu/programmes/horizon2020/en/h2020-section/future-and-emerging-technologies" TargetMode="External"/><Relationship Id="rId12" Type="http://schemas.openxmlformats.org/officeDocument/2006/relationships/hyperlink" Target="http://ec.europa.eu/programmes/horizon2020/en/h2020-section/information-and-communication-technologies" TargetMode="External"/><Relationship Id="rId17" Type="http://schemas.openxmlformats.org/officeDocument/2006/relationships/hyperlink" Target="http://ec.europa.eu/programmes/horizon2020/en/h2020-section/health-demographic-change-and-wellbeing" TargetMode="External"/><Relationship Id="rId25" Type="http://schemas.openxmlformats.org/officeDocument/2006/relationships/hyperlink" Target="http://ec.europa.eu/programmes/horizon2020/en/h2020-section/science-and-society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c.europa.eu/programmes/horizon2020/en/h2020-section/innovation-smes" TargetMode="External"/><Relationship Id="rId20" Type="http://schemas.openxmlformats.org/officeDocument/2006/relationships/hyperlink" Target="http://ec.europa.eu/programmes/horizon2020/en/h2020-section/smart-green-and-integrated-transport" TargetMode="External"/><Relationship Id="rId29" Type="http://schemas.openxmlformats.org/officeDocument/2006/relationships/hyperlink" Target="ICT_WP_prehlad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.europa.eu/programmes/horizon2020/en/h2020-section/european-research-council" TargetMode="External"/><Relationship Id="rId11" Type="http://schemas.openxmlformats.org/officeDocument/2006/relationships/hyperlink" Target="http://ec.europa.eu/programmes/horizon2020/en/h2020-section/leadership-enabling-and-industrial-technologies" TargetMode="External"/><Relationship Id="rId24" Type="http://schemas.openxmlformats.org/officeDocument/2006/relationships/hyperlink" Target="http://ec.europa.eu/programmes/horizon2020/en/h2020-section/spreading-excellence-and-widening-participatio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c.europa.eu/programmes/horizon2020/en/h2020-section/access-risk-finance" TargetMode="External"/><Relationship Id="rId23" Type="http://schemas.openxmlformats.org/officeDocument/2006/relationships/hyperlink" Target="http://ec.europa.eu/programmes/horizon2020/en/h2020-section/secure-societies-%E2%80%93-protecting-freedom-and-security-europe-and-its-citizens" TargetMode="External"/><Relationship Id="rId28" Type="http://schemas.openxmlformats.org/officeDocument/2006/relationships/hyperlink" Target="Factories_of_Future_WP_prehlad.docx" TargetMode="External"/><Relationship Id="rId10" Type="http://schemas.openxmlformats.org/officeDocument/2006/relationships/hyperlink" Target="http://ec.europa.eu/programmes/horizon2020/en/h2020-section/e-infrastructures" TargetMode="External"/><Relationship Id="rId19" Type="http://schemas.openxmlformats.org/officeDocument/2006/relationships/hyperlink" Target="http://ec.europa.eu/programmes/horizon2020/en/h2020-section/secure-clean-and-efficient-energy" TargetMode="External"/><Relationship Id="rId31" Type="http://schemas.openxmlformats.org/officeDocument/2006/relationships/hyperlink" Target="Green_Vehicles_WP_prehlad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horizon2020/en/h2020-section/european-research-infrastructures-including-e-infrastructures" TargetMode="External"/><Relationship Id="rId14" Type="http://schemas.openxmlformats.org/officeDocument/2006/relationships/hyperlink" Target="http://ec.europa.eu/programmes/horizon2020/en/h2020-section/space" TargetMode="External"/><Relationship Id="rId22" Type="http://schemas.openxmlformats.org/officeDocument/2006/relationships/hyperlink" Target="http://ec.europa.eu/programmes/horizon2020/en/h2020-section/europe-changing-world-inclusive-innovative-and-reflective-societies" TargetMode="External"/><Relationship Id="rId27" Type="http://schemas.openxmlformats.org/officeDocument/2006/relationships/hyperlink" Target="http://ec.europa.eu/programmes/horizon2020/en/h2020-section/euratom" TargetMode="External"/><Relationship Id="rId30" Type="http://schemas.openxmlformats.org/officeDocument/2006/relationships/hyperlink" Target="Smart_Cities_WP_prehlad.docx" TargetMode="External"/><Relationship Id="rId8" Type="http://schemas.openxmlformats.org/officeDocument/2006/relationships/hyperlink" Target="http://ec.europa.eu/programmes/horizon2020/en/h2020-section/marie-sklodowska-curie-action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Lenka Sabovčíková</cp:lastModifiedBy>
  <cp:revision>3</cp:revision>
  <dcterms:created xsi:type="dcterms:W3CDTF">2014-05-09T07:02:00Z</dcterms:created>
  <dcterms:modified xsi:type="dcterms:W3CDTF">2014-05-09T11:31:00Z</dcterms:modified>
</cp:coreProperties>
</file>