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63" w:rsidRDefault="00B04ECA">
      <w:pPr>
        <w:spacing w:after="0" w:line="259" w:lineRule="auto"/>
        <w:ind w:left="2152" w:right="-548" w:firstLine="0"/>
        <w:jc w:val="left"/>
      </w:pPr>
      <w:r>
        <w:rPr>
          <w:noProof/>
        </w:rPr>
        <w:drawing>
          <wp:inline distT="0" distB="0" distL="0" distR="0">
            <wp:extent cx="4743450" cy="89535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A63" w:rsidRDefault="00B04ECA">
      <w:pPr>
        <w:spacing w:after="0" w:line="259" w:lineRule="auto"/>
        <w:ind w:left="986" w:firstLine="0"/>
        <w:jc w:val="left"/>
        <w:rPr>
          <w:b/>
          <w:sz w:val="22"/>
        </w:rPr>
      </w:pPr>
      <w:r>
        <w:rPr>
          <w:b/>
          <w:sz w:val="22"/>
        </w:rPr>
        <w:t xml:space="preserve"> </w:t>
      </w:r>
    </w:p>
    <w:p w:rsidR="006A4AA0" w:rsidRDefault="006A4AA0">
      <w:pPr>
        <w:spacing w:after="0" w:line="259" w:lineRule="auto"/>
        <w:ind w:left="986" w:firstLine="0"/>
        <w:jc w:val="left"/>
        <w:rPr>
          <w:b/>
          <w:sz w:val="22"/>
        </w:rPr>
      </w:pPr>
    </w:p>
    <w:p w:rsidR="006A4AA0" w:rsidRDefault="006A4AA0">
      <w:pPr>
        <w:spacing w:after="0" w:line="259" w:lineRule="auto"/>
        <w:ind w:left="986" w:firstLine="0"/>
        <w:jc w:val="left"/>
      </w:pPr>
    </w:p>
    <w:p w:rsidR="001B5A63" w:rsidRDefault="00B04ECA">
      <w:pPr>
        <w:spacing w:after="0" w:line="259" w:lineRule="auto"/>
        <w:ind w:left="56" w:firstLine="0"/>
        <w:jc w:val="center"/>
      </w:pPr>
      <w:r>
        <w:rPr>
          <w:b/>
          <w:sz w:val="22"/>
        </w:rPr>
        <w:t xml:space="preserve"> </w:t>
      </w:r>
    </w:p>
    <w:p w:rsidR="00244DA1" w:rsidRPr="00145F68" w:rsidRDefault="00B04ECA" w:rsidP="00B04ECA">
      <w:pPr>
        <w:spacing w:after="0" w:line="259" w:lineRule="auto"/>
        <w:ind w:left="77" w:firstLine="0"/>
        <w:jc w:val="center"/>
        <w:rPr>
          <w:b/>
          <w:sz w:val="24"/>
          <w:szCs w:val="24"/>
        </w:rPr>
      </w:pPr>
      <w:r w:rsidRPr="00145F68">
        <w:rPr>
          <w:b/>
          <w:sz w:val="24"/>
          <w:szCs w:val="24"/>
        </w:rPr>
        <w:t>Zmluva</w:t>
      </w:r>
      <w:r w:rsidR="00244DA1" w:rsidRPr="00145F68">
        <w:rPr>
          <w:b/>
          <w:sz w:val="24"/>
          <w:szCs w:val="24"/>
        </w:rPr>
        <w:t xml:space="preserve"> na poskytovanie služieb</w:t>
      </w:r>
    </w:p>
    <w:p w:rsidR="001B5A63" w:rsidRPr="00145F68" w:rsidRDefault="00244DA1" w:rsidP="00B04ECA">
      <w:pPr>
        <w:spacing w:after="0" w:line="259" w:lineRule="auto"/>
        <w:ind w:left="77" w:firstLine="0"/>
        <w:jc w:val="center"/>
        <w:rPr>
          <w:sz w:val="24"/>
          <w:szCs w:val="24"/>
        </w:rPr>
      </w:pPr>
      <w:r w:rsidRPr="00145F68">
        <w:rPr>
          <w:b/>
          <w:sz w:val="24"/>
          <w:szCs w:val="24"/>
        </w:rPr>
        <w:t xml:space="preserve">„Zber, </w:t>
      </w:r>
      <w:r w:rsidR="00B04ECA" w:rsidRPr="00145F68">
        <w:rPr>
          <w:b/>
          <w:sz w:val="24"/>
          <w:szCs w:val="24"/>
        </w:rPr>
        <w:t>odvoz, zhodnoteni</w:t>
      </w:r>
      <w:r w:rsidRPr="00145F68">
        <w:rPr>
          <w:b/>
          <w:sz w:val="24"/>
          <w:szCs w:val="24"/>
        </w:rPr>
        <w:t>e</w:t>
      </w:r>
      <w:r w:rsidR="00B04ECA" w:rsidRPr="00145F68">
        <w:rPr>
          <w:b/>
          <w:sz w:val="24"/>
          <w:szCs w:val="24"/>
        </w:rPr>
        <w:t xml:space="preserve"> a zneškodňovania nebezpečného a iného odpadu</w:t>
      </w:r>
      <w:r w:rsidRPr="00145F68">
        <w:rPr>
          <w:b/>
          <w:sz w:val="24"/>
          <w:szCs w:val="24"/>
        </w:rPr>
        <w:t>“</w:t>
      </w:r>
    </w:p>
    <w:p w:rsidR="001B5A63" w:rsidRPr="00145F68" w:rsidRDefault="00B04ECA">
      <w:pPr>
        <w:pStyle w:val="Nadpis1"/>
        <w:ind w:left="10" w:right="7"/>
        <w:rPr>
          <w:sz w:val="24"/>
          <w:szCs w:val="24"/>
        </w:rPr>
      </w:pPr>
      <w:r w:rsidRPr="00145F68">
        <w:rPr>
          <w:sz w:val="24"/>
          <w:szCs w:val="24"/>
        </w:rPr>
        <w:t xml:space="preserve">č. </w:t>
      </w:r>
    </w:p>
    <w:p w:rsidR="001B5A63" w:rsidRDefault="00B04ECA">
      <w:pPr>
        <w:spacing w:after="20" w:line="259" w:lineRule="auto"/>
        <w:ind w:left="50" w:firstLine="0"/>
        <w:jc w:val="center"/>
      </w:pPr>
      <w:r>
        <w:rPr>
          <w:b/>
        </w:rPr>
        <w:t xml:space="preserve"> </w:t>
      </w:r>
    </w:p>
    <w:p w:rsidR="001B5A63" w:rsidRDefault="00B04ECA" w:rsidP="007F23BC">
      <w:pPr>
        <w:spacing w:after="0" w:line="277" w:lineRule="auto"/>
        <w:ind w:left="0" w:firstLine="0"/>
        <w:jc w:val="center"/>
      </w:pPr>
      <w:r>
        <w:t xml:space="preserve">uzavretá v súlade s </w:t>
      </w:r>
      <w:proofErr w:type="spellStart"/>
      <w:r>
        <w:t>ust</w:t>
      </w:r>
      <w:proofErr w:type="spellEnd"/>
      <w:r>
        <w:t>.</w:t>
      </w:r>
      <w:r w:rsidR="009379AC">
        <w:t xml:space="preserve"> </w:t>
      </w:r>
      <w:r>
        <w:t xml:space="preserve">§ 269 ods. 2 a </w:t>
      </w:r>
      <w:proofErr w:type="spellStart"/>
      <w:r>
        <w:t>nasl</w:t>
      </w:r>
      <w:proofErr w:type="spellEnd"/>
      <w:r>
        <w:t xml:space="preserve">. zákona č.  513/1991 Zb. - Obchodný zákonník v znení neskorších predpisov </w:t>
      </w:r>
      <w:r w:rsidR="00370602">
        <w:t>a </w:t>
      </w:r>
      <w:proofErr w:type="spellStart"/>
      <w:r w:rsidR="00370602">
        <w:t>ust</w:t>
      </w:r>
      <w:proofErr w:type="spellEnd"/>
      <w:r w:rsidR="00370602">
        <w:t xml:space="preserve">. </w:t>
      </w:r>
      <w:r w:rsidR="009379AC">
        <w:t>z</w:t>
      </w:r>
      <w:r w:rsidR="00370602">
        <w:t>ákona č. 343/2015 Z.</w:t>
      </w:r>
      <w:r w:rsidR="009379AC">
        <w:t xml:space="preserve"> </w:t>
      </w:r>
      <w:r w:rsidR="00370602">
        <w:t>z. o verejnom obstarávaní a</w:t>
      </w:r>
      <w:r w:rsidR="00244DA1">
        <w:t xml:space="preserve"> o </w:t>
      </w:r>
      <w:r w:rsidR="00370602">
        <w:t>zmene a</w:t>
      </w:r>
      <w:r w:rsidR="00244DA1">
        <w:t xml:space="preserve"> doplnení niektorých zákonov v znení neskorších predpisov </w:t>
      </w:r>
      <w:r w:rsidR="00DE4A7B">
        <w:t>(ďalej len „zmluva“)</w:t>
      </w:r>
    </w:p>
    <w:p w:rsidR="001B5A63" w:rsidRDefault="00B04ECA">
      <w:pPr>
        <w:spacing w:after="0" w:line="259" w:lineRule="auto"/>
        <w:ind w:left="50" w:firstLine="0"/>
        <w:jc w:val="center"/>
      </w:pPr>
      <w:r>
        <w:t xml:space="preserve"> </w:t>
      </w:r>
    </w:p>
    <w:p w:rsidR="00244DA1" w:rsidRDefault="00244DA1">
      <w:pPr>
        <w:spacing w:after="0" w:line="259" w:lineRule="auto"/>
        <w:ind w:left="50" w:firstLine="0"/>
        <w:jc w:val="center"/>
      </w:pPr>
    </w:p>
    <w:p w:rsidR="00B04ECA" w:rsidRDefault="00B04ECA">
      <w:pPr>
        <w:pStyle w:val="Nadpis1"/>
        <w:ind w:left="10" w:right="5"/>
      </w:pPr>
      <w:r>
        <w:t xml:space="preserve">Čl. I </w:t>
      </w:r>
    </w:p>
    <w:p w:rsidR="001B5A63" w:rsidRDefault="00B04ECA">
      <w:pPr>
        <w:pStyle w:val="Nadpis1"/>
        <w:ind w:left="10" w:right="5"/>
      </w:pPr>
      <w:r>
        <w:t xml:space="preserve">Zmluvné strany </w:t>
      </w:r>
    </w:p>
    <w:tbl>
      <w:tblPr>
        <w:tblStyle w:val="TableGrid"/>
        <w:tblW w:w="7739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2835"/>
        <w:gridCol w:w="4904"/>
      </w:tblGrid>
      <w:tr w:rsidR="001B5A63">
        <w:trPr>
          <w:trHeight w:val="22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Poskytovateľ</w:t>
            </w:r>
            <w:r>
              <w:t xml:space="preserve">  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1B5A63">
            <w:pPr>
              <w:spacing w:after="160" w:line="259" w:lineRule="auto"/>
              <w:ind w:left="0" w:firstLine="0"/>
              <w:jc w:val="left"/>
            </w:pPr>
          </w:p>
        </w:tc>
      </w:tr>
      <w:tr w:rsidR="001B5A63">
        <w:trPr>
          <w:trHeight w:val="23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>
            <w:pPr>
              <w:spacing w:after="0" w:line="259" w:lineRule="auto"/>
              <w:ind w:left="0" w:firstLine="0"/>
              <w:jc w:val="left"/>
            </w:pPr>
            <w:r>
              <w:t xml:space="preserve">Obchodné meno: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1B5A63">
            <w:pPr>
              <w:spacing w:after="0" w:line="259" w:lineRule="auto"/>
              <w:ind w:left="0" w:firstLine="0"/>
              <w:jc w:val="left"/>
            </w:pPr>
          </w:p>
        </w:tc>
      </w:tr>
      <w:tr w:rsidR="001B5A63">
        <w:trPr>
          <w:trHeight w:val="23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>
            <w:pPr>
              <w:spacing w:after="0" w:line="259" w:lineRule="auto"/>
              <w:ind w:left="0" w:firstLine="0"/>
              <w:jc w:val="left"/>
            </w:pPr>
            <w:r>
              <w:t xml:space="preserve">Sídlo: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1B5A63">
            <w:pPr>
              <w:spacing w:after="0" w:line="259" w:lineRule="auto"/>
              <w:ind w:left="0" w:firstLine="0"/>
              <w:jc w:val="left"/>
            </w:pPr>
          </w:p>
        </w:tc>
      </w:tr>
      <w:tr w:rsidR="001B5A63">
        <w:trPr>
          <w:trHeight w:val="23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>
            <w:pPr>
              <w:spacing w:after="0" w:line="259" w:lineRule="auto"/>
              <w:ind w:left="0" w:firstLine="0"/>
              <w:jc w:val="left"/>
            </w:pPr>
            <w:r>
              <w:t xml:space="preserve">Štatutárny orgán: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 w:rsidP="00B04E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B5A63">
        <w:trPr>
          <w:trHeight w:val="23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>
            <w:pPr>
              <w:spacing w:after="0" w:line="259" w:lineRule="auto"/>
              <w:ind w:left="0" w:firstLine="0"/>
              <w:jc w:val="left"/>
            </w:pPr>
            <w:r>
              <w:t xml:space="preserve">IČO: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1B5A63">
            <w:pPr>
              <w:spacing w:after="0" w:line="259" w:lineRule="auto"/>
              <w:ind w:left="0" w:firstLine="0"/>
              <w:jc w:val="left"/>
            </w:pPr>
          </w:p>
        </w:tc>
      </w:tr>
      <w:tr w:rsidR="001B5A63">
        <w:trPr>
          <w:trHeight w:val="23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>
            <w:pPr>
              <w:spacing w:after="0" w:line="259" w:lineRule="auto"/>
              <w:ind w:left="0" w:firstLine="0"/>
              <w:jc w:val="left"/>
            </w:pPr>
            <w:r>
              <w:t xml:space="preserve">DIČ: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1B5A63">
            <w:pPr>
              <w:spacing w:after="0" w:line="259" w:lineRule="auto"/>
              <w:ind w:left="0" w:firstLine="0"/>
              <w:jc w:val="left"/>
            </w:pPr>
          </w:p>
        </w:tc>
      </w:tr>
      <w:tr w:rsidR="001B5A63">
        <w:trPr>
          <w:trHeight w:val="23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>
            <w:pPr>
              <w:spacing w:after="0" w:line="259" w:lineRule="auto"/>
              <w:ind w:left="0" w:firstLine="0"/>
              <w:jc w:val="left"/>
            </w:pPr>
            <w:r>
              <w:t xml:space="preserve">IČ DPH: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1B5A63">
            <w:pPr>
              <w:spacing w:after="0" w:line="259" w:lineRule="auto"/>
              <w:ind w:left="0" w:firstLine="0"/>
              <w:jc w:val="left"/>
            </w:pPr>
          </w:p>
        </w:tc>
      </w:tr>
      <w:tr w:rsidR="001B5A63">
        <w:trPr>
          <w:trHeight w:val="2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>
            <w:pPr>
              <w:spacing w:after="0" w:line="259" w:lineRule="auto"/>
              <w:ind w:left="0" w:firstLine="0"/>
              <w:jc w:val="left"/>
            </w:pPr>
            <w:r>
              <w:t xml:space="preserve">Bankové spojenie: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1B5A63">
            <w:pPr>
              <w:spacing w:after="0" w:line="259" w:lineRule="auto"/>
              <w:ind w:left="0" w:firstLine="0"/>
              <w:jc w:val="left"/>
            </w:pPr>
          </w:p>
        </w:tc>
      </w:tr>
      <w:tr w:rsidR="001B5A63">
        <w:trPr>
          <w:trHeight w:val="2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>
            <w:pPr>
              <w:spacing w:after="0" w:line="259" w:lineRule="auto"/>
              <w:ind w:left="0" w:firstLine="0"/>
              <w:jc w:val="left"/>
            </w:pPr>
            <w:r>
              <w:t xml:space="preserve">Číslo účtu: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1B5A63">
            <w:pPr>
              <w:spacing w:after="0" w:line="259" w:lineRule="auto"/>
              <w:ind w:left="0" w:firstLine="0"/>
              <w:jc w:val="left"/>
            </w:pPr>
          </w:p>
        </w:tc>
      </w:tr>
      <w:tr w:rsidR="001B5A63">
        <w:trPr>
          <w:trHeight w:val="23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>
            <w:pPr>
              <w:spacing w:after="0" w:line="259" w:lineRule="auto"/>
              <w:ind w:left="0" w:firstLine="0"/>
              <w:jc w:val="left"/>
            </w:pPr>
            <w:r>
              <w:t xml:space="preserve">IBAN: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B5A63">
        <w:trPr>
          <w:trHeight w:val="23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>
            <w:pPr>
              <w:spacing w:after="0" w:line="259" w:lineRule="auto"/>
              <w:ind w:left="0" w:firstLine="0"/>
              <w:jc w:val="left"/>
            </w:pPr>
            <w:r>
              <w:t xml:space="preserve">Kontakt e- mail: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1B5A63">
            <w:pPr>
              <w:spacing w:after="0" w:line="259" w:lineRule="auto"/>
              <w:ind w:left="0" w:firstLine="0"/>
              <w:jc w:val="left"/>
            </w:pPr>
          </w:p>
        </w:tc>
      </w:tr>
      <w:tr w:rsidR="001B5A63">
        <w:trPr>
          <w:trHeight w:val="23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>
            <w:pPr>
              <w:spacing w:after="0" w:line="259" w:lineRule="auto"/>
              <w:ind w:left="0" w:firstLine="0"/>
              <w:jc w:val="left"/>
            </w:pPr>
            <w:r>
              <w:t xml:space="preserve">Tel. č./fax. č.: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1B5A63">
            <w:pPr>
              <w:spacing w:after="0" w:line="259" w:lineRule="auto"/>
              <w:ind w:left="0" w:firstLine="0"/>
              <w:jc w:val="left"/>
            </w:pPr>
          </w:p>
        </w:tc>
      </w:tr>
      <w:tr w:rsidR="001B5A63">
        <w:trPr>
          <w:trHeight w:val="68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>
            <w:pPr>
              <w:spacing w:after="0" w:line="278" w:lineRule="auto"/>
              <w:ind w:left="0" w:right="326" w:firstLine="0"/>
              <w:jc w:val="left"/>
            </w:pPr>
            <w:r>
              <w:t xml:space="preserve">Zápis v obch. registri:  (ďalej len „poskytovateľ“) </w:t>
            </w:r>
          </w:p>
          <w:p w:rsidR="001B5A63" w:rsidRDefault="00B04E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1B5A63">
            <w:pPr>
              <w:spacing w:after="0" w:line="259" w:lineRule="auto"/>
              <w:ind w:left="0" w:firstLine="0"/>
            </w:pPr>
          </w:p>
        </w:tc>
      </w:tr>
      <w:tr w:rsidR="001B5A63">
        <w:trPr>
          <w:trHeight w:val="23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>
            <w:pPr>
              <w:tabs>
                <w:tab w:val="center" w:pos="2126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Objednávateľ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1B5A63">
        <w:trPr>
          <w:trHeight w:val="23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A11A14">
            <w:pPr>
              <w:tabs>
                <w:tab w:val="center" w:pos="2126"/>
              </w:tabs>
              <w:spacing w:after="0" w:line="259" w:lineRule="auto"/>
              <w:ind w:left="0" w:firstLine="0"/>
              <w:jc w:val="left"/>
            </w:pPr>
            <w:r>
              <w:t>Názov</w:t>
            </w:r>
            <w:r w:rsidR="00B04ECA">
              <w:t xml:space="preserve">: </w:t>
            </w:r>
            <w:r w:rsidR="00B04ECA">
              <w:tab/>
              <w:t xml:space="preserve">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1B5A63" w:rsidRPr="007F23BC" w:rsidRDefault="00B04EC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7F23BC">
              <w:rPr>
                <w:b/>
              </w:rPr>
              <w:t xml:space="preserve">Univerzita Pavla Jozefa Šafárika v Košiciach </w:t>
            </w:r>
          </w:p>
        </w:tc>
      </w:tr>
      <w:tr w:rsidR="001B5A63">
        <w:trPr>
          <w:trHeight w:val="23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>
            <w:pPr>
              <w:tabs>
                <w:tab w:val="center" w:pos="1418"/>
                <w:tab w:val="center" w:pos="2126"/>
              </w:tabs>
              <w:spacing w:after="0" w:line="259" w:lineRule="auto"/>
              <w:ind w:left="0" w:firstLine="0"/>
              <w:jc w:val="left"/>
            </w:pPr>
            <w:r>
              <w:t xml:space="preserve">Sídlo: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>
            <w:pPr>
              <w:spacing w:after="0" w:line="259" w:lineRule="auto"/>
              <w:ind w:left="2" w:firstLine="0"/>
              <w:jc w:val="left"/>
            </w:pPr>
            <w:r>
              <w:t xml:space="preserve">Šrobárova 2, 041 80  Košice </w:t>
            </w:r>
          </w:p>
        </w:tc>
      </w:tr>
      <w:tr w:rsidR="001B5A63">
        <w:trPr>
          <w:trHeight w:val="2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>
            <w:pPr>
              <w:tabs>
                <w:tab w:val="center" w:pos="2126"/>
              </w:tabs>
              <w:spacing w:after="0" w:line="259" w:lineRule="auto"/>
              <w:ind w:left="0" w:firstLine="0"/>
              <w:jc w:val="left"/>
            </w:pPr>
            <w:r>
              <w:t xml:space="preserve">Štatutárny orgán: </w:t>
            </w:r>
            <w:r>
              <w:tab/>
              <w:t xml:space="preserve">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 w:rsidP="00F614BA">
            <w:pPr>
              <w:spacing w:after="0" w:line="259" w:lineRule="auto"/>
              <w:ind w:left="2" w:firstLine="0"/>
              <w:jc w:val="left"/>
            </w:pPr>
            <w:r>
              <w:t>prof. RNDr.</w:t>
            </w:r>
            <w:r w:rsidR="00F614BA">
              <w:t xml:space="preserve"> Pavol </w:t>
            </w:r>
            <w:proofErr w:type="spellStart"/>
            <w:r w:rsidR="00F614BA">
              <w:t>Sovák</w:t>
            </w:r>
            <w:proofErr w:type="spellEnd"/>
            <w:r>
              <w:t xml:space="preserve">, </w:t>
            </w:r>
            <w:r w:rsidR="00F614BA">
              <w:t>C</w:t>
            </w:r>
            <w:r>
              <w:t xml:space="preserve">Sc. – rektor </w:t>
            </w:r>
          </w:p>
        </w:tc>
      </w:tr>
      <w:tr w:rsidR="001B5A63">
        <w:trPr>
          <w:trHeight w:val="2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>
            <w:pPr>
              <w:tabs>
                <w:tab w:val="center" w:pos="708"/>
                <w:tab w:val="center" w:pos="1418"/>
                <w:tab w:val="center" w:pos="2126"/>
              </w:tabs>
              <w:spacing w:after="0" w:line="259" w:lineRule="auto"/>
              <w:ind w:left="0" w:firstLine="0"/>
              <w:jc w:val="left"/>
            </w:pPr>
            <w:r>
              <w:t xml:space="preserve">IČO: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>
            <w:pPr>
              <w:spacing w:after="0" w:line="259" w:lineRule="auto"/>
              <w:ind w:left="2" w:firstLine="0"/>
              <w:jc w:val="left"/>
            </w:pPr>
            <w:r>
              <w:t xml:space="preserve">00397768 </w:t>
            </w:r>
          </w:p>
        </w:tc>
      </w:tr>
      <w:tr w:rsidR="001B5A63">
        <w:trPr>
          <w:trHeight w:val="23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>
            <w:pPr>
              <w:tabs>
                <w:tab w:val="center" w:pos="1418"/>
                <w:tab w:val="center" w:pos="2126"/>
              </w:tabs>
              <w:spacing w:after="0" w:line="259" w:lineRule="auto"/>
              <w:ind w:left="0" w:firstLine="0"/>
              <w:jc w:val="left"/>
            </w:pPr>
            <w:r>
              <w:t xml:space="preserve">IČ DPH: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>
            <w:pPr>
              <w:spacing w:after="0" w:line="259" w:lineRule="auto"/>
              <w:ind w:left="2" w:firstLine="0"/>
              <w:jc w:val="left"/>
            </w:pPr>
            <w:r>
              <w:t xml:space="preserve">SK2021157050 </w:t>
            </w:r>
          </w:p>
        </w:tc>
      </w:tr>
      <w:tr w:rsidR="001B5A63">
        <w:trPr>
          <w:trHeight w:val="23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>
            <w:pPr>
              <w:spacing w:after="0" w:line="259" w:lineRule="auto"/>
              <w:ind w:left="0" w:firstLine="0"/>
              <w:jc w:val="left"/>
            </w:pPr>
            <w:r>
              <w:t xml:space="preserve">Bankové spojenie:         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>
            <w:pPr>
              <w:spacing w:after="0" w:line="259" w:lineRule="auto"/>
              <w:ind w:left="2" w:firstLine="0"/>
              <w:jc w:val="left"/>
            </w:pPr>
            <w:r>
              <w:t xml:space="preserve">Štátna pokladnica, Bratislava </w:t>
            </w:r>
          </w:p>
        </w:tc>
      </w:tr>
      <w:tr w:rsidR="001B5A63">
        <w:trPr>
          <w:trHeight w:val="23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>
            <w:pPr>
              <w:tabs>
                <w:tab w:val="center" w:pos="1418"/>
                <w:tab w:val="center" w:pos="2126"/>
              </w:tabs>
              <w:spacing w:after="0" w:line="259" w:lineRule="auto"/>
              <w:ind w:left="0" w:firstLine="0"/>
              <w:jc w:val="left"/>
            </w:pPr>
            <w:r>
              <w:t xml:space="preserve">Číslo účtu: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>
            <w:pPr>
              <w:spacing w:after="0" w:line="259" w:lineRule="auto"/>
              <w:ind w:left="2" w:firstLine="0"/>
              <w:jc w:val="left"/>
            </w:pPr>
            <w:r>
              <w:t xml:space="preserve">7000241770/8180   </w:t>
            </w:r>
          </w:p>
        </w:tc>
      </w:tr>
      <w:tr w:rsidR="001B5A63">
        <w:trPr>
          <w:trHeight w:val="4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>
            <w:pPr>
              <w:tabs>
                <w:tab w:val="center" w:pos="1418"/>
                <w:tab w:val="center" w:pos="2126"/>
              </w:tabs>
              <w:spacing w:after="24" w:line="259" w:lineRule="auto"/>
              <w:ind w:left="0" w:firstLine="0"/>
              <w:jc w:val="left"/>
            </w:pPr>
            <w:r>
              <w:t xml:space="preserve">IBAN: 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44DA1" w:rsidRDefault="00B04ECA">
            <w:pPr>
              <w:spacing w:after="0" w:line="259" w:lineRule="auto"/>
              <w:ind w:left="0" w:firstLine="0"/>
              <w:jc w:val="left"/>
            </w:pPr>
            <w:r>
              <w:t>(ďalej len „objednávateľ“)</w:t>
            </w:r>
          </w:p>
          <w:p w:rsidR="001B5A63" w:rsidRDefault="001B5A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1B5A63" w:rsidRDefault="00B04ECA" w:rsidP="00244DA1">
            <w:pPr>
              <w:spacing w:after="0" w:line="259" w:lineRule="auto"/>
              <w:ind w:left="0" w:firstLine="2"/>
              <w:jc w:val="left"/>
            </w:pPr>
            <w:r>
              <w:t xml:space="preserve">SK </w:t>
            </w:r>
          </w:p>
        </w:tc>
      </w:tr>
    </w:tbl>
    <w:p w:rsidR="00244DA1" w:rsidRPr="007F23BC" w:rsidRDefault="008A0D29" w:rsidP="007F23BC">
      <w:pPr>
        <w:pStyle w:val="Nadpis1"/>
        <w:ind w:left="10" w:right="7"/>
        <w:jc w:val="both"/>
        <w:rPr>
          <w:b w:val="0"/>
        </w:rPr>
      </w:pPr>
      <w:r w:rsidRPr="007F23BC">
        <w:rPr>
          <w:b w:val="0"/>
        </w:rPr>
        <w:t xml:space="preserve">(ďalej spolu len „zmluvné strany“)   </w:t>
      </w:r>
    </w:p>
    <w:p w:rsidR="008A0D29" w:rsidRDefault="008A0D29">
      <w:pPr>
        <w:pStyle w:val="Nadpis1"/>
        <w:ind w:left="10" w:right="7"/>
      </w:pPr>
    </w:p>
    <w:p w:rsidR="00F614BA" w:rsidRDefault="00B04ECA">
      <w:pPr>
        <w:pStyle w:val="Nadpis1"/>
        <w:ind w:left="10" w:right="7"/>
      </w:pPr>
      <w:r>
        <w:t xml:space="preserve">Čl. II </w:t>
      </w:r>
    </w:p>
    <w:p w:rsidR="001B5A63" w:rsidRDefault="00B04ECA">
      <w:pPr>
        <w:pStyle w:val="Nadpis1"/>
        <w:ind w:left="10" w:right="7"/>
      </w:pPr>
      <w:r>
        <w:t xml:space="preserve">Podklady pre uzatvorenie zmluvy </w:t>
      </w:r>
    </w:p>
    <w:p w:rsidR="001B5A63" w:rsidRDefault="00B04ECA">
      <w:pPr>
        <w:spacing w:after="0" w:line="259" w:lineRule="auto"/>
        <w:ind w:left="0" w:firstLine="0"/>
        <w:jc w:val="left"/>
      </w:pPr>
      <w:r>
        <w:t xml:space="preserve"> </w:t>
      </w:r>
    </w:p>
    <w:p w:rsidR="001B5A63" w:rsidRDefault="00DE4A7B">
      <w:pPr>
        <w:ind w:left="-5"/>
      </w:pPr>
      <w:r w:rsidRPr="004B04FD">
        <w:t xml:space="preserve">Táto zmluva je uzatvorená ako výsledok zadávania zákazky s nízkou hodnotou postupom podľa </w:t>
      </w:r>
      <w:proofErr w:type="spellStart"/>
      <w:r w:rsidRPr="004B04FD">
        <w:t>ust</w:t>
      </w:r>
      <w:proofErr w:type="spellEnd"/>
      <w:r w:rsidRPr="004B04FD">
        <w:t>. § 117</w:t>
      </w:r>
      <w:r>
        <w:t xml:space="preserve"> zákona č. </w:t>
      </w:r>
      <w:r w:rsidR="00736450">
        <w:t>343/2015 Z.</w:t>
      </w:r>
      <w:r w:rsidR="006E7B4B">
        <w:t xml:space="preserve"> </w:t>
      </w:r>
      <w:r w:rsidR="00736450">
        <w:t>z. o verejnom obstarávaní a o zmene a doplnení niektorých zákonov v znení neskorších predpisov, ktorej predmetom je: „</w:t>
      </w:r>
      <w:r w:rsidR="00736450" w:rsidRPr="006212B4">
        <w:rPr>
          <w:b/>
        </w:rPr>
        <w:t>Zber, odvoz, zhodnotenie alebo zneškodnenie nebezpečného a iného odpadu</w:t>
      </w:r>
      <w:r w:rsidR="006212B4">
        <w:t>“</w:t>
      </w:r>
      <w:r w:rsidR="00736450">
        <w:t xml:space="preserve">. </w:t>
      </w:r>
    </w:p>
    <w:p w:rsidR="001B5A63" w:rsidRDefault="00B04ECA">
      <w:pPr>
        <w:spacing w:after="15" w:line="259" w:lineRule="auto"/>
        <w:ind w:left="50" w:firstLine="0"/>
        <w:jc w:val="center"/>
      </w:pPr>
      <w:r>
        <w:rPr>
          <w:b/>
        </w:rPr>
        <w:t xml:space="preserve"> </w:t>
      </w:r>
    </w:p>
    <w:p w:rsidR="00970A88" w:rsidRDefault="00B04ECA">
      <w:pPr>
        <w:pStyle w:val="Nadpis1"/>
        <w:ind w:left="10" w:right="5"/>
      </w:pPr>
      <w:r>
        <w:lastRenderedPageBreak/>
        <w:t xml:space="preserve">Čl. III </w:t>
      </w:r>
    </w:p>
    <w:p w:rsidR="001B5A63" w:rsidRDefault="00B04ECA">
      <w:pPr>
        <w:pStyle w:val="Nadpis1"/>
        <w:ind w:left="10" w:right="5"/>
      </w:pPr>
      <w:r>
        <w:t xml:space="preserve">Právne predpisy </w:t>
      </w:r>
    </w:p>
    <w:p w:rsidR="001B5A63" w:rsidRDefault="00B04ECA">
      <w:pPr>
        <w:spacing w:after="18" w:line="259" w:lineRule="auto"/>
        <w:ind w:left="0" w:firstLine="0"/>
        <w:jc w:val="left"/>
      </w:pPr>
      <w:r>
        <w:t xml:space="preserve"> </w:t>
      </w:r>
    </w:p>
    <w:p w:rsidR="001B5A63" w:rsidRDefault="00B04ECA">
      <w:pPr>
        <w:ind w:left="-5"/>
      </w:pPr>
      <w:r>
        <w:t xml:space="preserve">Vzájomné vzťahy oboch zmluvných strán sa riadia </w:t>
      </w:r>
      <w:proofErr w:type="spellStart"/>
      <w:r>
        <w:t>ust</w:t>
      </w:r>
      <w:proofErr w:type="spellEnd"/>
      <w:r>
        <w:t xml:space="preserve">. zákona č. 513/1991 Zb. - Obchodný zákonník </w:t>
      </w:r>
      <w:r w:rsidR="006E7B4B">
        <w:t xml:space="preserve">              </w:t>
      </w:r>
      <w:r>
        <w:t xml:space="preserve">v znení neskorších predpisov, zákona č. 18/1996 Z. z. o cenách v znení neskorších predpisov </w:t>
      </w:r>
      <w:r w:rsidR="006E7B4B">
        <w:t xml:space="preserve">                                </w:t>
      </w:r>
      <w:r w:rsidR="00AE313A">
        <w:t xml:space="preserve">(ďalej len „zák. č. 18/1996 Z. z.“) </w:t>
      </w:r>
      <w:r>
        <w:t>a vyhláškou č.</w:t>
      </w:r>
      <w:r w:rsidR="006E7B4B">
        <w:t xml:space="preserve"> </w:t>
      </w:r>
      <w:r>
        <w:t xml:space="preserve">87/1996 Z. z., ktorou sa vykonáva zákon NR SR </w:t>
      </w:r>
      <w:r w:rsidR="00AE313A">
        <w:t xml:space="preserve">                           </w:t>
      </w:r>
      <w:r>
        <w:t xml:space="preserve">č. 18/1996 Z. z. o cenách v znení neskorších predpisov </w:t>
      </w:r>
      <w:r w:rsidR="00AE313A">
        <w:t xml:space="preserve">(ďalej len </w:t>
      </w:r>
      <w:r w:rsidR="00AC43C3">
        <w:t xml:space="preserve">vyhl. č. „87/1996 Z. z.“) </w:t>
      </w:r>
      <w:r>
        <w:t xml:space="preserve">a </w:t>
      </w:r>
      <w:proofErr w:type="spellStart"/>
      <w:r>
        <w:t>ust</w:t>
      </w:r>
      <w:proofErr w:type="spellEnd"/>
      <w:r>
        <w:t xml:space="preserve">. zákona č. </w:t>
      </w:r>
      <w:r w:rsidR="00EC14A2">
        <w:t>79</w:t>
      </w:r>
      <w:r>
        <w:t>/20</w:t>
      </w:r>
      <w:r w:rsidR="00EC14A2">
        <w:t>15</w:t>
      </w:r>
      <w:r>
        <w:t xml:space="preserve"> Z.</w:t>
      </w:r>
      <w:r w:rsidR="006E7B4B">
        <w:t xml:space="preserve"> </w:t>
      </w:r>
      <w:r>
        <w:t xml:space="preserve">z. o odpadoch a o zmene a doplnení niektorých zákonov, v znení neskorších predpisov </w:t>
      </w:r>
      <w:r w:rsidR="00AE313A">
        <w:t>(ďalej len „</w:t>
      </w:r>
      <w:r w:rsidR="00AC43C3">
        <w:t xml:space="preserve">zák. </w:t>
      </w:r>
      <w:r w:rsidR="00AE313A">
        <w:t xml:space="preserve">č. 79/2015 Z. z.“) </w:t>
      </w:r>
      <w:r w:rsidR="00EC14A2">
        <w:t xml:space="preserve">a súvisiacich predpisov </w:t>
      </w:r>
      <w:r>
        <w:t xml:space="preserve">a Vyhlášky Ministerstva životného prostredia SR č. </w:t>
      </w:r>
      <w:r w:rsidR="00EC14A2">
        <w:t>365</w:t>
      </w:r>
      <w:r>
        <w:t>/20</w:t>
      </w:r>
      <w:r w:rsidR="00EC14A2">
        <w:t>15</w:t>
      </w:r>
      <w:r>
        <w:t xml:space="preserve"> Z.</w:t>
      </w:r>
      <w:r w:rsidR="00EC14A2">
        <w:t xml:space="preserve"> </w:t>
      </w:r>
      <w:r>
        <w:t>z., ktorou sa ustanovuje Katalóg odpadov, v znení neskorš</w:t>
      </w:r>
      <w:r w:rsidR="00CD0B7A">
        <w:t>ieho</w:t>
      </w:r>
      <w:r>
        <w:t xml:space="preserve"> predpis</w:t>
      </w:r>
      <w:r w:rsidR="00CD0B7A">
        <w:t>u</w:t>
      </w:r>
      <w:r w:rsidR="00AE313A">
        <w:t xml:space="preserve"> (ďalej len „vyhl. č. 365/2015 Z. z“)</w:t>
      </w:r>
      <w:r>
        <w:t xml:space="preserve">. </w:t>
      </w:r>
    </w:p>
    <w:p w:rsidR="001B5A63" w:rsidRDefault="00B04ECA">
      <w:pPr>
        <w:spacing w:after="0" w:line="259" w:lineRule="auto"/>
        <w:ind w:left="0" w:firstLine="0"/>
        <w:jc w:val="left"/>
      </w:pPr>
      <w:r>
        <w:t xml:space="preserve"> </w:t>
      </w:r>
    </w:p>
    <w:p w:rsidR="001B5A63" w:rsidRDefault="00B04ECA">
      <w:pPr>
        <w:spacing w:after="0" w:line="259" w:lineRule="auto"/>
        <w:ind w:left="0" w:firstLine="0"/>
        <w:jc w:val="left"/>
      </w:pPr>
      <w:r>
        <w:t xml:space="preserve"> </w:t>
      </w:r>
    </w:p>
    <w:p w:rsidR="00EC14A2" w:rsidRDefault="00B04ECA">
      <w:pPr>
        <w:pStyle w:val="Nadpis1"/>
        <w:ind w:left="10" w:right="7"/>
      </w:pPr>
      <w:r>
        <w:t xml:space="preserve">Čl. IV </w:t>
      </w:r>
    </w:p>
    <w:p w:rsidR="001B5A63" w:rsidRDefault="00B04ECA">
      <w:pPr>
        <w:pStyle w:val="Nadpis1"/>
        <w:ind w:left="10" w:right="7"/>
      </w:pPr>
      <w:r>
        <w:t xml:space="preserve">Predmet zmluvy </w:t>
      </w:r>
    </w:p>
    <w:p w:rsidR="001B5A63" w:rsidRDefault="00B04ECA">
      <w:pPr>
        <w:spacing w:line="259" w:lineRule="auto"/>
        <w:ind w:left="50" w:firstLine="0"/>
        <w:jc w:val="center"/>
      </w:pPr>
      <w:r>
        <w:rPr>
          <w:b/>
        </w:rPr>
        <w:t xml:space="preserve"> </w:t>
      </w:r>
    </w:p>
    <w:p w:rsidR="001B5A63" w:rsidRDefault="00B04ECA" w:rsidP="0034340D">
      <w:pPr>
        <w:numPr>
          <w:ilvl w:val="0"/>
          <w:numId w:val="1"/>
        </w:numPr>
        <w:ind w:hanging="360"/>
      </w:pPr>
      <w:r>
        <w:t>Predmetom tejto zmluvy je záväzok poskytovateľa zabezpečiť pre objednávateľa na základe samostatných objednávok odv</w:t>
      </w:r>
      <w:r w:rsidR="0034340D">
        <w:t xml:space="preserve">oz, zhodnotenie a zneškodnenie </w:t>
      </w:r>
      <w:r>
        <w:t xml:space="preserve">odpadov, ktorých druhy </w:t>
      </w:r>
      <w:r w:rsidR="00AE313A">
        <w:t xml:space="preserve">                                      </w:t>
      </w:r>
      <w:r>
        <w:t xml:space="preserve">a jednotkové ceny za ich odvoz, zhodnotenie a zneškodnenie sú bližšie špecifikované v Prílohe </w:t>
      </w:r>
      <w:r w:rsidR="00AE313A">
        <w:t xml:space="preserve">                      </w:t>
      </w:r>
      <w:r>
        <w:t xml:space="preserve">č. 1, ktorá tvorí nedeliteľnú súčasť tejto zmluvy, </w:t>
      </w:r>
    </w:p>
    <w:p w:rsidR="001B5A63" w:rsidRDefault="00B04ECA">
      <w:pPr>
        <w:numPr>
          <w:ilvl w:val="0"/>
          <w:numId w:val="1"/>
        </w:numPr>
        <w:ind w:hanging="360"/>
      </w:pPr>
      <w:r>
        <w:t xml:space="preserve">Objednávateľ sa zaväzuje zaplatiť poskytovateľovi dohodnutú cenu za poskytnuté služby tvoriace predmet tejto zmluvy v súlade s touto zmluvou. </w:t>
      </w:r>
    </w:p>
    <w:p w:rsidR="001B5A63" w:rsidRDefault="00B04ECA">
      <w:pPr>
        <w:numPr>
          <w:ilvl w:val="0"/>
          <w:numId w:val="1"/>
        </w:numPr>
        <w:ind w:hanging="360"/>
      </w:pPr>
      <w:r>
        <w:t>Predmet zmluvy musí byť vykonávaný v súlade s ustanoveniami zák</w:t>
      </w:r>
      <w:r w:rsidR="00AE313A">
        <w:t>.</w:t>
      </w:r>
      <w:r>
        <w:t xml:space="preserve"> č. </w:t>
      </w:r>
      <w:r w:rsidR="00EC14A2">
        <w:t>79</w:t>
      </w:r>
      <w:r>
        <w:t>/20</w:t>
      </w:r>
      <w:r w:rsidR="00EC14A2">
        <w:t>15</w:t>
      </w:r>
      <w:r>
        <w:t xml:space="preserve"> Z.</w:t>
      </w:r>
      <w:r w:rsidR="00EC14A2">
        <w:t xml:space="preserve"> </w:t>
      </w:r>
      <w:r>
        <w:t xml:space="preserve">z., </w:t>
      </w:r>
      <w:r w:rsidR="00AE313A">
        <w:t xml:space="preserve">                                          vyhl. č. 365/2015 Z. z. a </w:t>
      </w:r>
      <w:r>
        <w:t>s ustanoveniami súvisiacich predpisov</w:t>
      </w:r>
      <w:r w:rsidR="00AE313A">
        <w:t>.</w:t>
      </w:r>
    </w:p>
    <w:p w:rsidR="0034340D" w:rsidRPr="0034340D" w:rsidRDefault="0034340D" w:rsidP="0034340D">
      <w:pPr>
        <w:numPr>
          <w:ilvl w:val="0"/>
          <w:numId w:val="1"/>
        </w:numPr>
        <w:ind w:hanging="360"/>
      </w:pPr>
      <w:r w:rsidRPr="0034340D">
        <w:t xml:space="preserve">Poskytovateľ zároveň </w:t>
      </w:r>
      <w:r w:rsidR="00060170">
        <w:t>vy</w:t>
      </w:r>
      <w:r w:rsidRPr="0034340D">
        <w:t>hlasuje, že spĺňa všetky zákonné podmienky pre nakladanie s odpadmi.</w:t>
      </w:r>
    </w:p>
    <w:p w:rsidR="001B5A63" w:rsidRDefault="00B04ECA">
      <w:pPr>
        <w:spacing w:after="0" w:line="259" w:lineRule="auto"/>
        <w:ind w:left="720" w:firstLine="0"/>
        <w:jc w:val="left"/>
      </w:pPr>
      <w:r>
        <w:t xml:space="preserve"> </w:t>
      </w:r>
    </w:p>
    <w:p w:rsidR="00EC14A2" w:rsidRDefault="00B04ECA">
      <w:pPr>
        <w:pStyle w:val="Nadpis1"/>
        <w:ind w:left="10" w:right="5"/>
      </w:pPr>
      <w:r>
        <w:t xml:space="preserve">Čl. V </w:t>
      </w:r>
    </w:p>
    <w:p w:rsidR="001B5A63" w:rsidRDefault="00B04ECA">
      <w:pPr>
        <w:pStyle w:val="Nadpis1"/>
        <w:ind w:left="10" w:right="5"/>
      </w:pPr>
      <w:r>
        <w:t xml:space="preserve">Cena a platobné podmienky </w:t>
      </w:r>
    </w:p>
    <w:p w:rsidR="001B5A63" w:rsidRDefault="00B04ECA">
      <w:pPr>
        <w:spacing w:after="19" w:line="259" w:lineRule="auto"/>
        <w:ind w:left="50" w:firstLine="0"/>
        <w:jc w:val="center"/>
      </w:pPr>
      <w:r>
        <w:rPr>
          <w:b/>
        </w:rPr>
        <w:t xml:space="preserve"> </w:t>
      </w:r>
    </w:p>
    <w:p w:rsidR="001B5A63" w:rsidRDefault="00B04ECA" w:rsidP="00EC14A2">
      <w:pPr>
        <w:numPr>
          <w:ilvl w:val="0"/>
          <w:numId w:val="2"/>
        </w:numPr>
        <w:ind w:left="437" w:hanging="427"/>
      </w:pPr>
      <w:r>
        <w:t xml:space="preserve">Cena predmetu zmluvy je stanovená dohodu zmluvných strán v súlade s </w:t>
      </w:r>
      <w:proofErr w:type="spellStart"/>
      <w:r>
        <w:t>ust</w:t>
      </w:r>
      <w:proofErr w:type="spellEnd"/>
      <w:r>
        <w:t>. zák</w:t>
      </w:r>
      <w:r w:rsidR="00707F88">
        <w:t>.</w:t>
      </w:r>
      <w:r>
        <w:t xml:space="preserve"> č. 18/1996</w:t>
      </w:r>
      <w:r w:rsidR="00EC14A2">
        <w:t xml:space="preserve"> </w:t>
      </w:r>
      <w:r>
        <w:t>Z.</w:t>
      </w:r>
      <w:r w:rsidR="00EC14A2">
        <w:t xml:space="preserve"> </w:t>
      </w:r>
      <w:r>
        <w:t>z. a v súlade s</w:t>
      </w:r>
      <w:r w:rsidR="00707F88">
        <w:t> </w:t>
      </w:r>
      <w:r>
        <w:t>vyhl</w:t>
      </w:r>
      <w:r w:rsidR="00707F88">
        <w:t>.</w:t>
      </w:r>
      <w:r>
        <w:t xml:space="preserve"> č. 87/1996 Z.</w:t>
      </w:r>
      <w:r w:rsidR="00EC14A2">
        <w:t xml:space="preserve"> </w:t>
      </w:r>
      <w:r>
        <w:t xml:space="preserve">z. </w:t>
      </w:r>
    </w:p>
    <w:p w:rsidR="001B5A63" w:rsidRDefault="00EB109C" w:rsidP="007F23BC">
      <w:pPr>
        <w:numPr>
          <w:ilvl w:val="0"/>
          <w:numId w:val="2"/>
        </w:numPr>
        <w:ind w:hanging="427"/>
      </w:pPr>
      <w:r>
        <w:t>J</w:t>
      </w:r>
      <w:r w:rsidR="00B04ECA">
        <w:t xml:space="preserve">ednotkové </w:t>
      </w:r>
      <w:r w:rsidR="00B04ECA" w:rsidRPr="00EB109C">
        <w:rPr>
          <w:color w:val="auto"/>
        </w:rPr>
        <w:t xml:space="preserve">ceny </w:t>
      </w:r>
      <w:r w:rsidR="00C8090D" w:rsidRPr="00EB109C">
        <w:rPr>
          <w:color w:val="auto"/>
        </w:rPr>
        <w:t xml:space="preserve">za mernú jednotku </w:t>
      </w:r>
      <w:r w:rsidR="00B04ECA">
        <w:t>za odvoz, zhodnotenie a zneškodnenie odpadov podľa čl. IV ods. 1 sú uvedené v Prílohe č. 1 tejto zmluvy</w:t>
      </w:r>
      <w:r>
        <w:t>.</w:t>
      </w:r>
      <w:r w:rsidR="00B04ECA">
        <w:t xml:space="preserve"> </w:t>
      </w:r>
    </w:p>
    <w:p w:rsidR="001B5A63" w:rsidRDefault="00B04ECA" w:rsidP="00EC14A2">
      <w:pPr>
        <w:numPr>
          <w:ilvl w:val="0"/>
          <w:numId w:val="2"/>
        </w:numPr>
        <w:ind w:left="437" w:hanging="427"/>
      </w:pPr>
      <w:r>
        <w:t>Celková cena predmetu zmluvy podľa čl. V ods. 2 neprekročí počas trvania tejto zmluvy čiastku</w:t>
      </w:r>
      <w:r w:rsidR="00EC14A2">
        <w:t xml:space="preserve"> .................</w:t>
      </w:r>
      <w:r w:rsidRPr="00EC14A2">
        <w:rPr>
          <w:color w:val="FF0000"/>
        </w:rPr>
        <w:t xml:space="preserve"> </w:t>
      </w:r>
      <w:r>
        <w:t>Eur (slovom „</w:t>
      </w:r>
      <w:r w:rsidR="00EC14A2">
        <w:t>.............................</w:t>
      </w:r>
      <w:r>
        <w:t xml:space="preserve"> eur“) bez DPH. </w:t>
      </w:r>
    </w:p>
    <w:p w:rsidR="00C8090D" w:rsidRPr="004258EA" w:rsidRDefault="00C8090D" w:rsidP="00EC14A2">
      <w:pPr>
        <w:numPr>
          <w:ilvl w:val="0"/>
          <w:numId w:val="2"/>
        </w:numPr>
        <w:ind w:left="437" w:hanging="427"/>
        <w:rPr>
          <w:color w:val="auto"/>
        </w:rPr>
      </w:pPr>
      <w:r w:rsidRPr="004258EA">
        <w:rPr>
          <w:color w:val="auto"/>
        </w:rPr>
        <w:t>Cena za predmet zmluvy je výsledná cena pre objednávateľa a zahŕňa v sebe náklady na dopravu do miesta plnenia, manipuláci</w:t>
      </w:r>
      <w:r w:rsidR="00EB109C">
        <w:rPr>
          <w:color w:val="auto"/>
        </w:rPr>
        <w:t>u</w:t>
      </w:r>
      <w:r w:rsidRPr="004258EA">
        <w:rPr>
          <w:color w:val="auto"/>
        </w:rPr>
        <w:t>, poskytnutie kontajnerov, preprav</w:t>
      </w:r>
      <w:r w:rsidR="00EB109C">
        <w:rPr>
          <w:color w:val="auto"/>
        </w:rPr>
        <w:t>u</w:t>
      </w:r>
      <w:r w:rsidRPr="004258EA">
        <w:rPr>
          <w:color w:val="auto"/>
        </w:rPr>
        <w:t xml:space="preserve"> a zneškodnenie odpadu a všetky náklady súvisiace s </w:t>
      </w:r>
      <w:r w:rsidR="00EB109C">
        <w:rPr>
          <w:color w:val="auto"/>
        </w:rPr>
        <w:t>poskytovaním</w:t>
      </w:r>
      <w:r w:rsidRPr="004258EA">
        <w:rPr>
          <w:color w:val="auto"/>
        </w:rPr>
        <w:t xml:space="preserve"> služieb podľa tejto zmluvy. Poskytovateľ sa zaväzuje, že počas platnosti tejto zmluvy nebude účtovať iné ako dohodnuté ceny uvedené v Prílohe č. 1 tejto zmluvy.</w:t>
      </w:r>
    </w:p>
    <w:p w:rsidR="001B5A63" w:rsidRDefault="00B04ECA">
      <w:pPr>
        <w:numPr>
          <w:ilvl w:val="0"/>
          <w:numId w:val="2"/>
        </w:numPr>
        <w:ind w:hanging="427"/>
      </w:pPr>
      <w:r>
        <w:t xml:space="preserve">K uvedeným cenám bude pripočítaná DPH v súlade s platnými a účinnými právnymi predpismi. </w:t>
      </w:r>
    </w:p>
    <w:p w:rsidR="001B5A63" w:rsidRDefault="00B04ECA">
      <w:pPr>
        <w:numPr>
          <w:ilvl w:val="0"/>
          <w:numId w:val="2"/>
        </w:numPr>
        <w:ind w:hanging="427"/>
      </w:pPr>
      <w:r>
        <w:t xml:space="preserve">Objednávateľovi vzniká povinnosť na zaplatenie ceny podľa ods. 2 tohto článku po riadnom splnení predmetu zmluvy poskytovateľom podľa samostatnej objednávky objednávateľa na základe vystavenej faktúry, ktorá musí byť v súlade s uvedenou objednávkou. Súčasťou faktúry musí byť potvrdenie o prevzatí odpadu poskytovateľom, opatrené odtlačkom pečiatky a podpisom povereného zástupcu objednávateľa a poskytovateľa. Objednávateľ a poskytovateľ sa zaväzujú vo všetkých písomnostiach (listoch, potvrdeniach, faktúrach, objednávkach, atď.) uvádzať číslo tejto zmluvy. </w:t>
      </w:r>
    </w:p>
    <w:p w:rsidR="001B5A63" w:rsidRDefault="00B04ECA">
      <w:pPr>
        <w:numPr>
          <w:ilvl w:val="0"/>
          <w:numId w:val="2"/>
        </w:numPr>
        <w:ind w:hanging="427"/>
      </w:pPr>
      <w:r>
        <w:t>Poskytovateľ vystaví objednávateľovi faktúru za skutočne prevzaté množstvo odpadu určené na skládkovanie, zneškodnenie alebo ďalšie spracovanie najneskôr do 15 kalendárnych dní nasledujúceho mesiaca a</w:t>
      </w:r>
      <w:r w:rsidR="0034340D">
        <w:t xml:space="preserve"> doručí </w:t>
      </w:r>
      <w:r>
        <w:t xml:space="preserve"> ju adresu objednávateľa. </w:t>
      </w:r>
    </w:p>
    <w:p w:rsidR="001B5A63" w:rsidRDefault="00B04ECA" w:rsidP="00EC14A2">
      <w:pPr>
        <w:numPr>
          <w:ilvl w:val="0"/>
          <w:numId w:val="2"/>
        </w:numPr>
        <w:ind w:left="437" w:hanging="427"/>
      </w:pPr>
      <w:r>
        <w:t xml:space="preserve">Ak poskytovateľ predloží objednávateľovi faktúru, ktorá je nesprávna, neúplná, ku ktorej nie je priložené potvrdenie o prevzatí odpadu, alebo ktorá neobsahuje všetky náležitosti daňového dokladu v zmysle platnej a účinnej právnej úpravy, objednávateľ je oprávnený predmetnú faktúru vrátiť poskytovateľovi na doplnenie alebo vystavenie novej faktúry. Po </w:t>
      </w:r>
      <w:r w:rsidR="00F1386F">
        <w:t>doručení</w:t>
      </w:r>
      <w:r>
        <w:t xml:space="preserve"> opravenej, resp.</w:t>
      </w:r>
      <w:r w:rsidR="00EC14A2">
        <w:t xml:space="preserve"> </w:t>
      </w:r>
      <w:r>
        <w:t xml:space="preserve">novo vystavenej faktúry začína pre objednávateľa plynúť nová lehota splatnosti faktúry. </w:t>
      </w:r>
    </w:p>
    <w:p w:rsidR="001B5A63" w:rsidRDefault="00B04ECA">
      <w:pPr>
        <w:numPr>
          <w:ilvl w:val="0"/>
          <w:numId w:val="2"/>
        </w:numPr>
        <w:ind w:hanging="427"/>
      </w:pPr>
      <w:r>
        <w:t xml:space="preserve">Objednávateľ neposkytuje </w:t>
      </w:r>
      <w:r w:rsidR="00AA076C">
        <w:t xml:space="preserve">poskytovateľovi </w:t>
      </w:r>
      <w:r>
        <w:t xml:space="preserve">preddavok ani zálohovú platbu. </w:t>
      </w:r>
    </w:p>
    <w:p w:rsidR="001B5A63" w:rsidRDefault="00AA076C">
      <w:pPr>
        <w:numPr>
          <w:ilvl w:val="0"/>
          <w:numId w:val="2"/>
        </w:numPr>
        <w:ind w:hanging="427"/>
      </w:pPr>
      <w:r>
        <w:lastRenderedPageBreak/>
        <w:t>Zmluvné strany sa dohodli, že l</w:t>
      </w:r>
      <w:r w:rsidR="00B04ECA">
        <w:t xml:space="preserve">ehota splatnosti faktúry je 30 dní odo dňa </w:t>
      </w:r>
      <w:r>
        <w:t xml:space="preserve">doručenia </w:t>
      </w:r>
      <w:r w:rsidR="00B04ECA">
        <w:t>faktúry objednávateľo</w:t>
      </w:r>
      <w:r>
        <w:t>vi</w:t>
      </w:r>
      <w:r w:rsidR="00B04ECA">
        <w:t xml:space="preserve">. </w:t>
      </w:r>
    </w:p>
    <w:p w:rsidR="001B5A63" w:rsidRDefault="00B04ECA">
      <w:pPr>
        <w:numPr>
          <w:ilvl w:val="0"/>
          <w:numId w:val="2"/>
        </w:numPr>
        <w:ind w:hanging="427"/>
      </w:pPr>
      <w:r>
        <w:t xml:space="preserve">Objednávateľ nezodpovedá za omeškanie s úhradou faktúry, ktorá je spôsobená nepripísaním finančných prostriedkov na účet poskytovateľa zo strany finančného ústavu. </w:t>
      </w:r>
    </w:p>
    <w:p w:rsidR="001B5A63" w:rsidRDefault="001B5A63">
      <w:pPr>
        <w:spacing w:after="0" w:line="259" w:lineRule="auto"/>
        <w:ind w:left="0" w:firstLine="0"/>
        <w:jc w:val="left"/>
      </w:pPr>
    </w:p>
    <w:p w:rsidR="00EC14A2" w:rsidRDefault="00B04ECA">
      <w:pPr>
        <w:pStyle w:val="Nadpis1"/>
        <w:ind w:left="10" w:right="8"/>
      </w:pPr>
      <w:r>
        <w:t>Čl. VI</w:t>
      </w:r>
    </w:p>
    <w:p w:rsidR="001B5A63" w:rsidRDefault="00B04ECA">
      <w:pPr>
        <w:pStyle w:val="Nadpis1"/>
        <w:ind w:left="10" w:right="8"/>
      </w:pPr>
      <w:r>
        <w:t xml:space="preserve"> Termín, miesto a spôsob plnenia </w:t>
      </w:r>
    </w:p>
    <w:p w:rsidR="001B5A63" w:rsidRDefault="00B04ECA">
      <w:pPr>
        <w:spacing w:line="259" w:lineRule="auto"/>
        <w:ind w:left="50" w:firstLine="0"/>
        <w:jc w:val="center"/>
      </w:pPr>
      <w:r>
        <w:rPr>
          <w:b/>
        </w:rPr>
        <w:t xml:space="preserve"> </w:t>
      </w:r>
    </w:p>
    <w:p w:rsidR="001B5A63" w:rsidRDefault="00B04ECA">
      <w:pPr>
        <w:numPr>
          <w:ilvl w:val="0"/>
          <w:numId w:val="4"/>
        </w:numPr>
        <w:ind w:hanging="360"/>
      </w:pPr>
      <w:r>
        <w:t xml:space="preserve">Miestom plnenia je: Univerzita Pavla Jozefa Šafárika v Košiciach, Šrobárova 2, 041 80 Košice, Rektorát, fakulty a ostatné pracoviská objednávateľa, bližšie špecifikované v samostatnej objednávke. </w:t>
      </w:r>
    </w:p>
    <w:p w:rsidR="001B5A63" w:rsidRDefault="00B04ECA">
      <w:pPr>
        <w:numPr>
          <w:ilvl w:val="0"/>
          <w:numId w:val="4"/>
        </w:numPr>
        <w:ind w:hanging="360"/>
      </w:pPr>
      <w:r>
        <w:t>Poskytovateľ sa zaväzuje prevziať odpad, na základe písomnej objednávky objednávateľa najneskôr do 5 pracovných dní, s výnimkou odpadov, ktoré v zmysle objednávky alebo právnych predpisov musia byť poskytovateľom prevzaté do 24 hodín od objednania</w:t>
      </w:r>
      <w:r w:rsidR="00AA076C">
        <w:t xml:space="preserve"> služby</w:t>
      </w:r>
      <w:r>
        <w:t xml:space="preserve">. </w:t>
      </w:r>
    </w:p>
    <w:p w:rsidR="001B5A63" w:rsidRDefault="00B04ECA">
      <w:pPr>
        <w:numPr>
          <w:ilvl w:val="0"/>
          <w:numId w:val="4"/>
        </w:numPr>
        <w:ind w:hanging="360"/>
      </w:pPr>
      <w:r>
        <w:t xml:space="preserve">Prevzatím odpadu prechádza na poskytovateľa vlastnícke právo k prevzatému odpadu </w:t>
      </w:r>
      <w:r w:rsidR="00AE5F05">
        <w:t xml:space="preserve">                                     </w:t>
      </w:r>
      <w:r>
        <w:t xml:space="preserve">a poskytovateľ preberá na seba zodpovednosť za ďalšie nakladanie s odpadom v zmysle platnej </w:t>
      </w:r>
      <w:r w:rsidR="00AA076C">
        <w:t xml:space="preserve">a účinnej </w:t>
      </w:r>
      <w:r>
        <w:t xml:space="preserve">legislatívy. </w:t>
      </w:r>
    </w:p>
    <w:p w:rsidR="001B5A63" w:rsidRDefault="00B04ECA">
      <w:pPr>
        <w:numPr>
          <w:ilvl w:val="0"/>
          <w:numId w:val="4"/>
        </w:numPr>
        <w:ind w:hanging="360"/>
      </w:pPr>
      <w:r>
        <w:t xml:space="preserve">Objednávateľ sa zaväzuje, že bude vykonávať zber a uskladňovanie odpadov v nepoškodených kontajneroch, vlastných nádobách, alebo vreciach na to určených právnym predpisom podľa druhu odpadu, a to až do prevzatia týchto odpadov poskytovateľom. </w:t>
      </w:r>
    </w:p>
    <w:p w:rsidR="001B5A63" w:rsidRDefault="00B04EC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:rsidR="00EC14A2" w:rsidRDefault="00B04ECA">
      <w:pPr>
        <w:pStyle w:val="Nadpis1"/>
        <w:ind w:left="10" w:right="8"/>
      </w:pPr>
      <w:r>
        <w:t xml:space="preserve">Čl. VII </w:t>
      </w:r>
    </w:p>
    <w:p w:rsidR="001B5A63" w:rsidRDefault="00B04ECA">
      <w:pPr>
        <w:pStyle w:val="Nadpis1"/>
        <w:ind w:left="10" w:right="8"/>
      </w:pPr>
      <w:r>
        <w:t xml:space="preserve">Zmluvné sankcie </w:t>
      </w:r>
    </w:p>
    <w:p w:rsidR="001B5A63" w:rsidRDefault="00B04ECA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1B5A63" w:rsidRPr="007F23BC" w:rsidRDefault="00B04ECA">
      <w:pPr>
        <w:numPr>
          <w:ilvl w:val="0"/>
          <w:numId w:val="5"/>
        </w:numPr>
        <w:ind w:hanging="360"/>
      </w:pPr>
      <w:r>
        <w:t xml:space="preserve">V prípade omeškania poskytovateľa s plnením predmetu zmluvy podľa samostatnej objednávky  </w:t>
      </w:r>
      <w:r w:rsidR="00AE5F05">
        <w:t xml:space="preserve">                   </w:t>
      </w:r>
      <w:r>
        <w:t xml:space="preserve">v termíne dohodnutom v čl. VI </w:t>
      </w:r>
      <w:r w:rsidRPr="007F23BC">
        <w:t>ods. 2  tejto zmluvy je objednávateľ oprávnený požadovať od poskytovateľa zmluvnú pokutu vo výške 0,</w:t>
      </w:r>
      <w:r w:rsidR="00AA076C" w:rsidRPr="007F23BC">
        <w:t>1</w:t>
      </w:r>
      <w:r w:rsidRPr="007F23BC">
        <w:t xml:space="preserve"> % z ceny tej časti predmetu zmluvy, ktorej sa omeškanie týka a to za každý</w:t>
      </w:r>
      <w:r w:rsidR="00AE5F05" w:rsidRPr="007F23BC">
        <w:t xml:space="preserve"> </w:t>
      </w:r>
      <w:r w:rsidRPr="007F23BC">
        <w:t xml:space="preserve">aj začatý deň omeškania. Objednávateľ zmluvnú pokutu neuplatní </w:t>
      </w:r>
      <w:r w:rsidR="005F78EF" w:rsidRPr="007F23BC">
        <w:t xml:space="preserve">                  </w:t>
      </w:r>
      <w:r w:rsidRPr="007F23BC">
        <w:t xml:space="preserve">v prípadoch charakterizovaných ako vyššia moc.   </w:t>
      </w:r>
    </w:p>
    <w:p w:rsidR="001B5A63" w:rsidRPr="007F23BC" w:rsidRDefault="00B04ECA" w:rsidP="008441EF">
      <w:pPr>
        <w:numPr>
          <w:ilvl w:val="0"/>
          <w:numId w:val="5"/>
        </w:numPr>
        <w:ind w:left="370" w:hanging="360"/>
      </w:pPr>
      <w:r w:rsidRPr="007F23BC">
        <w:t>V prípade omeškania objednávateľa s úhradou faktúry v dohodnutej lehote splatnosti je poskytovateľ oprávnený uplatniť voči objednávateľovi úrok z omeškania vo výške 0,</w:t>
      </w:r>
      <w:r w:rsidR="00AA076C" w:rsidRPr="007F23BC">
        <w:t>1</w:t>
      </w:r>
      <w:r w:rsidRPr="007F23BC">
        <w:t xml:space="preserve"> % </w:t>
      </w:r>
      <w:r w:rsidR="005F78EF" w:rsidRPr="007F23BC">
        <w:t xml:space="preserve">                                  </w:t>
      </w:r>
      <w:r w:rsidRPr="007F23BC">
        <w:t>z neuhradenej fakturovanej čiastky za každý</w:t>
      </w:r>
      <w:r w:rsidR="005F78EF" w:rsidRPr="007F23BC">
        <w:t xml:space="preserve"> </w:t>
      </w:r>
      <w:r w:rsidRPr="007F23BC">
        <w:t>aj začatý</w:t>
      </w:r>
      <w:r w:rsidR="005F78EF" w:rsidRPr="007F23BC">
        <w:t xml:space="preserve"> </w:t>
      </w:r>
      <w:r w:rsidRPr="007F23BC">
        <w:t>deň omeškania s výnimkou prípadu uvedeného v čl. V ods. 1</w:t>
      </w:r>
      <w:r w:rsidR="00AA076C" w:rsidRPr="007F23BC">
        <w:t>1</w:t>
      </w:r>
      <w:r w:rsidRPr="007F23BC">
        <w:t xml:space="preserve"> tejto zmluvy alebo okolnosti charakterizovanej ako vyššia moc</w:t>
      </w:r>
      <w:r w:rsidR="005F78EF" w:rsidRPr="007F23BC">
        <w:t xml:space="preserve">. </w:t>
      </w:r>
    </w:p>
    <w:p w:rsidR="00D4440E" w:rsidRPr="007F23BC" w:rsidRDefault="00D4440E">
      <w:pPr>
        <w:pStyle w:val="Nadpis1"/>
        <w:ind w:left="10" w:right="5"/>
      </w:pPr>
    </w:p>
    <w:p w:rsidR="00D4440E" w:rsidRPr="007F23BC" w:rsidRDefault="00B04ECA">
      <w:pPr>
        <w:pStyle w:val="Nadpis1"/>
        <w:ind w:left="10" w:right="5"/>
      </w:pPr>
      <w:r w:rsidRPr="007F23BC">
        <w:t xml:space="preserve">Čl. VIII </w:t>
      </w:r>
    </w:p>
    <w:p w:rsidR="001B5A63" w:rsidRPr="007F23BC" w:rsidRDefault="00B04ECA">
      <w:pPr>
        <w:pStyle w:val="Nadpis1"/>
        <w:ind w:left="10" w:right="5"/>
      </w:pPr>
      <w:r w:rsidRPr="007F23BC">
        <w:t xml:space="preserve">Ukončenie zmluvy </w:t>
      </w:r>
    </w:p>
    <w:p w:rsidR="001B5A63" w:rsidRPr="007F23BC" w:rsidRDefault="00B04ECA">
      <w:pPr>
        <w:spacing w:after="20" w:line="259" w:lineRule="auto"/>
        <w:ind w:left="50" w:firstLine="0"/>
        <w:jc w:val="center"/>
      </w:pPr>
      <w:r w:rsidRPr="007F23BC">
        <w:rPr>
          <w:b/>
        </w:rPr>
        <w:t xml:space="preserve"> </w:t>
      </w:r>
    </w:p>
    <w:p w:rsidR="001B5A63" w:rsidRPr="007F23BC" w:rsidRDefault="00B04ECA">
      <w:pPr>
        <w:numPr>
          <w:ilvl w:val="0"/>
          <w:numId w:val="6"/>
        </w:numPr>
        <w:ind w:hanging="360"/>
      </w:pPr>
      <w:r w:rsidRPr="007F23BC">
        <w:t xml:space="preserve">Ktorákoľvek zo zmluvných strán je oprávnená odstúpiť od tejto zmluvy pri podstatnom porušení zmluvnej povinnosti a požadovať náhradu škody, ktorá jej vznikla zavinením druhej zmluvnej strany. </w:t>
      </w:r>
    </w:p>
    <w:p w:rsidR="001B5A63" w:rsidRPr="007F23BC" w:rsidRDefault="00B04ECA">
      <w:pPr>
        <w:numPr>
          <w:ilvl w:val="0"/>
          <w:numId w:val="6"/>
        </w:numPr>
        <w:ind w:hanging="360"/>
      </w:pPr>
      <w:r w:rsidRPr="007F23BC">
        <w:t xml:space="preserve">Zmluvné strany sa dohodli, že za podstatné porušenie zmluvnej povinnosti budú považovať porušenie akejkoľvek povinnosti vyplývajúcej z tejto zmluvy. Úplná alebo čiastočná zodpovednosť zmluvnej strany je vylúčená v prípadoch zásahu vyššej moci.  </w:t>
      </w:r>
    </w:p>
    <w:p w:rsidR="001B5A63" w:rsidRPr="007F23BC" w:rsidRDefault="00B04ECA">
      <w:pPr>
        <w:numPr>
          <w:ilvl w:val="0"/>
          <w:numId w:val="6"/>
        </w:numPr>
        <w:ind w:hanging="360"/>
      </w:pPr>
      <w:r w:rsidRPr="007F23BC">
        <w:rPr>
          <w:b/>
        </w:rPr>
        <w:t>Objednávateľ</w:t>
      </w:r>
      <w:r w:rsidRPr="007F23BC">
        <w:t xml:space="preserve"> je oprávnený okamžite odstúpiť od zmluvy najmä ak: </w:t>
      </w:r>
    </w:p>
    <w:p w:rsidR="001B5A63" w:rsidRPr="007F23BC" w:rsidRDefault="00B04ECA">
      <w:pPr>
        <w:numPr>
          <w:ilvl w:val="1"/>
          <w:numId w:val="6"/>
        </w:numPr>
        <w:ind w:hanging="348"/>
      </w:pPr>
      <w:r w:rsidRPr="007F23BC">
        <w:t xml:space="preserve">poskytovateľ je opakovane a/alebo viac ako 2 pracovné dni v omeškaní s riadnym plnením predmetu zmluvy, </w:t>
      </w:r>
    </w:p>
    <w:p w:rsidR="001B5A63" w:rsidRDefault="00B04ECA">
      <w:pPr>
        <w:numPr>
          <w:ilvl w:val="1"/>
          <w:numId w:val="6"/>
        </w:numPr>
        <w:ind w:hanging="348"/>
      </w:pPr>
      <w:r>
        <w:t xml:space="preserve">sa voči poskytovateľovi vedie konkurzné konanie alebo bol podaný návrh na začatie konkurzného konania, resp. návrh na začatie konkurzného konania bol zamietnutý z dôvodu nedostatku majetku alebo ak bolo voči poskytovateľovi začaté vyrovnávacie konanie alebo  c) poskytovateľ vstúpil do likvidácie. </w:t>
      </w:r>
    </w:p>
    <w:p w:rsidR="001B5A63" w:rsidRDefault="00B04ECA">
      <w:pPr>
        <w:numPr>
          <w:ilvl w:val="0"/>
          <w:numId w:val="6"/>
        </w:numPr>
        <w:ind w:hanging="360"/>
      </w:pPr>
      <w:r>
        <w:rPr>
          <w:b/>
        </w:rPr>
        <w:t>Poskytovateľ</w:t>
      </w:r>
      <w:r>
        <w:t xml:space="preserve"> je oprávnený okamžite odstúpiť od zmluvy najmä ak: </w:t>
      </w:r>
    </w:p>
    <w:p w:rsidR="001B5A63" w:rsidRDefault="00B04ECA">
      <w:pPr>
        <w:numPr>
          <w:ilvl w:val="1"/>
          <w:numId w:val="6"/>
        </w:numPr>
        <w:ind w:hanging="348"/>
      </w:pPr>
      <w:r>
        <w:t xml:space="preserve">objednávateľ je v omeškaní s úhradou faktúr viac ako 90 dní po lehote ich splatnosti, </w:t>
      </w:r>
    </w:p>
    <w:p w:rsidR="001B5A63" w:rsidRDefault="00B04ECA">
      <w:pPr>
        <w:numPr>
          <w:ilvl w:val="1"/>
          <w:numId w:val="6"/>
        </w:numPr>
        <w:ind w:hanging="348"/>
      </w:pPr>
      <w:r>
        <w:t xml:space="preserve">objednávateľ nevykonáva zber a uskladňovanie odpadov v nepoškodených kontajneroch, vlastných nádobách, alebo vreciach na to určených právnym predpisom podľa druhu odpadu napriek tomu, že ho na to poskytovateľ upozornil, </w:t>
      </w:r>
    </w:p>
    <w:p w:rsidR="001B5A63" w:rsidRDefault="00B04ECA">
      <w:pPr>
        <w:numPr>
          <w:ilvl w:val="1"/>
          <w:numId w:val="6"/>
        </w:numPr>
        <w:ind w:hanging="348"/>
      </w:pPr>
      <w:r>
        <w:t>objednávateľ opakovane</w:t>
      </w:r>
      <w:r w:rsidR="00AA076C">
        <w:t xml:space="preserve">, najmenej dva krát po sebe, </w:t>
      </w:r>
      <w:r>
        <w:t xml:space="preserve">znemožnil poskytovateľovi prístup </w:t>
      </w:r>
      <w:r w:rsidR="00F80003">
        <w:t xml:space="preserve">                           </w:t>
      </w:r>
      <w:r>
        <w:t xml:space="preserve">k odpadu v čase dohodnutom alebo ohlásenom ako čas odberu. </w:t>
      </w:r>
    </w:p>
    <w:p w:rsidR="001B5A63" w:rsidRDefault="00B04ECA">
      <w:pPr>
        <w:numPr>
          <w:ilvl w:val="0"/>
          <w:numId w:val="6"/>
        </w:numPr>
        <w:ind w:hanging="360"/>
      </w:pPr>
      <w:r>
        <w:t>Odstúpenie od zmluvy musí byť písomne s uvedením dôvodu, pre ktorý strana odstupuje od zmluvy</w:t>
      </w:r>
      <w:r w:rsidR="00660E33">
        <w:t xml:space="preserve"> a doručen</w:t>
      </w:r>
      <w:r w:rsidR="00F80003">
        <w:t>é</w:t>
      </w:r>
      <w:r w:rsidR="00660E33">
        <w:t xml:space="preserve"> druhej strane</w:t>
      </w:r>
      <w:r w:rsidR="005B14A5">
        <w:t xml:space="preserve"> alebo považované za doručené v zmysle </w:t>
      </w:r>
      <w:r w:rsidR="00F80003">
        <w:t xml:space="preserve">čl. XI </w:t>
      </w:r>
      <w:r w:rsidR="00660E33">
        <w:t>ods. 1 tejto zmluvy</w:t>
      </w:r>
      <w:r>
        <w:t>.</w:t>
      </w:r>
      <w:r w:rsidR="00F80003">
        <w:t xml:space="preserve"> </w:t>
      </w:r>
      <w:r>
        <w:t xml:space="preserve"> </w:t>
      </w:r>
    </w:p>
    <w:p w:rsidR="00CA768A" w:rsidRDefault="00B04ECA">
      <w:pPr>
        <w:numPr>
          <w:ilvl w:val="0"/>
          <w:numId w:val="6"/>
        </w:numPr>
        <w:ind w:hanging="360"/>
      </w:pPr>
      <w:r>
        <w:lastRenderedPageBreak/>
        <w:t xml:space="preserve">O skutočnostiach podľa ods. </w:t>
      </w:r>
      <w:r w:rsidR="00660E33">
        <w:t>4</w:t>
      </w:r>
      <w:r>
        <w:t xml:space="preserve"> písm. b) a c ) je poskytovateľ povinný objednávateľa bezodkladne informovať, inak zodpovedá objednávateľovi za škodu vzniknutú v dôsledku porušenia tejto povinnosti. </w:t>
      </w:r>
    </w:p>
    <w:p w:rsidR="001B5A63" w:rsidRDefault="00B04ECA">
      <w:pPr>
        <w:numPr>
          <w:ilvl w:val="0"/>
          <w:numId w:val="6"/>
        </w:numPr>
        <w:ind w:hanging="360"/>
      </w:pPr>
      <w:r>
        <w:t>Ktorákoľvek zo zmluvných strán je oprávnená túto zmluvu vypovedať i bez udania dôvodu. Výpoveď musí byť písomná</w:t>
      </w:r>
      <w:r w:rsidR="00CA768A">
        <w:t xml:space="preserve"> a doručená druhej zmluvnej strane</w:t>
      </w:r>
      <w:r w:rsidR="005B14A5">
        <w:t xml:space="preserve"> alebo považovaná za doručenú </w:t>
      </w:r>
      <w:r w:rsidR="00CA768A">
        <w:t xml:space="preserve">podľa </w:t>
      </w:r>
      <w:r w:rsidR="005B14A5">
        <w:t xml:space="preserve">čl. XI </w:t>
      </w:r>
      <w:r w:rsidR="00CA768A">
        <w:t>ods. 1 tejto zmluvy. V</w:t>
      </w:r>
      <w:r>
        <w:t>ýpovedná lehota je 3 mesiace</w:t>
      </w:r>
      <w:r w:rsidR="00CA768A">
        <w:t xml:space="preserve"> a </w:t>
      </w:r>
      <w:r>
        <w:t xml:space="preserve">začína plynúť od prvého dňa mesiaca, nasledujúceho po doručení výpovede druhej zmluvnej strane. Vypovedanie tejto zmluvy neovplyvňuje splnenie záväzkov oboch zmluvných strán vyplývajúcich z konkrétnych objednávok uzavretých na základe tejto zmluvy. </w:t>
      </w:r>
    </w:p>
    <w:p w:rsidR="00CA768A" w:rsidRPr="00CA768A" w:rsidRDefault="00B04ECA" w:rsidP="00CA768A">
      <w:pPr>
        <w:spacing w:after="0" w:line="240" w:lineRule="auto"/>
        <w:jc w:val="center"/>
        <w:rPr>
          <w:b/>
          <w:szCs w:val="20"/>
        </w:rPr>
      </w:pPr>
      <w:r>
        <w:t xml:space="preserve">  </w:t>
      </w:r>
      <w:r w:rsidR="00CA768A" w:rsidRPr="00CA768A">
        <w:t xml:space="preserve">  </w:t>
      </w:r>
      <w:r w:rsidR="00CA768A" w:rsidRPr="00CA768A">
        <w:rPr>
          <w:b/>
          <w:szCs w:val="20"/>
        </w:rPr>
        <w:t>Čl. IX</w:t>
      </w:r>
    </w:p>
    <w:p w:rsidR="00CA768A" w:rsidRPr="00CA768A" w:rsidRDefault="00CA768A" w:rsidP="00CA768A">
      <w:pPr>
        <w:spacing w:after="0" w:line="240" w:lineRule="auto"/>
        <w:jc w:val="center"/>
        <w:rPr>
          <w:b/>
          <w:szCs w:val="20"/>
        </w:rPr>
      </w:pPr>
      <w:r w:rsidRPr="00CA768A">
        <w:rPr>
          <w:b/>
          <w:szCs w:val="20"/>
        </w:rPr>
        <w:t>Zmena zmluvy</w:t>
      </w:r>
    </w:p>
    <w:p w:rsidR="00CA768A" w:rsidRPr="00CA768A" w:rsidRDefault="00CA768A" w:rsidP="00CA768A">
      <w:pPr>
        <w:spacing w:after="0" w:line="240" w:lineRule="auto"/>
        <w:jc w:val="center"/>
        <w:rPr>
          <w:szCs w:val="20"/>
        </w:rPr>
      </w:pPr>
    </w:p>
    <w:p w:rsidR="00CA768A" w:rsidRPr="00CA768A" w:rsidRDefault="00CA768A" w:rsidP="004258EA">
      <w:pPr>
        <w:numPr>
          <w:ilvl w:val="0"/>
          <w:numId w:val="9"/>
        </w:numPr>
        <w:ind w:left="284" w:hanging="284"/>
        <w:contextualSpacing/>
        <w:rPr>
          <w:color w:val="auto"/>
          <w:szCs w:val="20"/>
          <w:lang w:eastAsia="en-US"/>
        </w:rPr>
      </w:pPr>
      <w:r w:rsidRPr="00CA768A">
        <w:rPr>
          <w:color w:val="auto"/>
          <w:szCs w:val="20"/>
          <w:lang w:eastAsia="en-US"/>
        </w:rPr>
        <w:t xml:space="preserve">Túto zmluvu je možné počas jej trvania zmeniť iba vzostupne číslovanými písomnými dodatkami, ktoré sa po podpísaní zmluvnými stranami a nadobudnutí účinnosti stávajú jej nedeliteľnou súčasťou, ak tieto nebudú v rozpore s </w:t>
      </w:r>
      <w:proofErr w:type="spellStart"/>
      <w:r w:rsidRPr="00CA768A">
        <w:rPr>
          <w:color w:val="auto"/>
          <w:szCs w:val="20"/>
          <w:lang w:eastAsia="en-US"/>
        </w:rPr>
        <w:t>ust</w:t>
      </w:r>
      <w:proofErr w:type="spellEnd"/>
      <w:r w:rsidRPr="00CA768A">
        <w:rPr>
          <w:color w:val="auto"/>
          <w:szCs w:val="20"/>
          <w:lang w:eastAsia="en-US"/>
        </w:rPr>
        <w:t>. § 18 zákona o verejnom obstarávaní.</w:t>
      </w:r>
    </w:p>
    <w:p w:rsidR="00CA768A" w:rsidRPr="00CA768A" w:rsidRDefault="00CA768A" w:rsidP="004258EA">
      <w:pPr>
        <w:numPr>
          <w:ilvl w:val="0"/>
          <w:numId w:val="9"/>
        </w:numPr>
        <w:ind w:left="284" w:hanging="284"/>
        <w:contextualSpacing/>
        <w:rPr>
          <w:color w:val="auto"/>
          <w:szCs w:val="20"/>
          <w:lang w:eastAsia="en-US"/>
        </w:rPr>
      </w:pPr>
      <w:r w:rsidRPr="00CA768A">
        <w:rPr>
          <w:color w:val="auto"/>
          <w:szCs w:val="20"/>
          <w:lang w:eastAsia="en-US"/>
        </w:rPr>
        <w:t>Túto zmluvu je možné počas jej trvania zmeniť bez nového verejného obstarávania dodatkom k tejto zmluve, avšak maximálne do 10 % hodnoty pôvodnej zmluvnej ceny uvedenej v čl. V ods. 3 tejto zmluvy.</w:t>
      </w:r>
    </w:p>
    <w:p w:rsidR="00CA768A" w:rsidRPr="00CA768A" w:rsidRDefault="00CA768A" w:rsidP="004258EA">
      <w:pPr>
        <w:numPr>
          <w:ilvl w:val="0"/>
          <w:numId w:val="9"/>
        </w:numPr>
        <w:ind w:left="284" w:hanging="284"/>
        <w:contextualSpacing/>
        <w:rPr>
          <w:color w:val="auto"/>
          <w:szCs w:val="20"/>
          <w:lang w:eastAsia="en-US"/>
        </w:rPr>
      </w:pPr>
      <w:r w:rsidRPr="00CA768A">
        <w:rPr>
          <w:color w:val="auto"/>
          <w:szCs w:val="20"/>
          <w:lang w:eastAsia="en-US"/>
        </w:rPr>
        <w:t>Túto zmluvu je objednávateľ oprávnený zmeniť vo forme písomného dodatku k tejto zmluve počas jej trvania v nasledovných prípadoch, ak:</w:t>
      </w:r>
    </w:p>
    <w:p w:rsidR="00CA768A" w:rsidRPr="00CA768A" w:rsidRDefault="00CA768A" w:rsidP="004258EA">
      <w:pPr>
        <w:numPr>
          <w:ilvl w:val="0"/>
          <w:numId w:val="11"/>
        </w:numPr>
        <w:contextualSpacing/>
        <w:rPr>
          <w:color w:val="auto"/>
          <w:szCs w:val="20"/>
          <w:lang w:eastAsia="en-US"/>
        </w:rPr>
      </w:pPr>
      <w:r w:rsidRPr="00CA768A">
        <w:rPr>
          <w:color w:val="auto"/>
          <w:szCs w:val="20"/>
          <w:lang w:eastAsia="en-US"/>
        </w:rPr>
        <w:t xml:space="preserve">nastane potreba realizácie doplňujúcich služieb, ktoré sú nevyhnutné pre splnenie predmetu zmluvy, avšak nie sú zahrnuté v tejto zmluve, nakoľko ich poskytuje  pôvodný poskytovateľ                            a zmena poskytovateľa nie je možná z ekonomických alebo technických dôvodov, pričom ide najmä o požiadavku vzájomnej zameniteľnosti alebo </w:t>
      </w:r>
      <w:proofErr w:type="spellStart"/>
      <w:r w:rsidRPr="00CA768A">
        <w:rPr>
          <w:color w:val="auto"/>
          <w:szCs w:val="20"/>
          <w:lang w:eastAsia="en-US"/>
        </w:rPr>
        <w:t>interoperability</w:t>
      </w:r>
      <w:proofErr w:type="spellEnd"/>
      <w:r w:rsidRPr="00CA768A">
        <w:rPr>
          <w:color w:val="auto"/>
          <w:szCs w:val="20"/>
          <w:lang w:eastAsia="en-US"/>
        </w:rPr>
        <w:t xml:space="preserve"> s existujúcimi službami                                a spôsobí objednávateľovi významné ťažkosti alebo podstatnú duplicitu nákladov, pričom hodnota všetkých oprávnených zmien nepresiahne 50 % hodnoty pôvodnej zmluvy podľa čl. V ods. 3 tejto zmluvy,</w:t>
      </w:r>
    </w:p>
    <w:p w:rsidR="00CA768A" w:rsidRPr="00CA768A" w:rsidRDefault="00CA768A" w:rsidP="004258EA">
      <w:pPr>
        <w:numPr>
          <w:ilvl w:val="0"/>
          <w:numId w:val="11"/>
        </w:numPr>
        <w:contextualSpacing/>
        <w:rPr>
          <w:color w:val="auto"/>
          <w:szCs w:val="20"/>
          <w:lang w:eastAsia="en-US"/>
        </w:rPr>
      </w:pPr>
      <w:r w:rsidRPr="00CA768A">
        <w:rPr>
          <w:color w:val="auto"/>
          <w:szCs w:val="20"/>
          <w:lang w:eastAsia="en-US"/>
        </w:rPr>
        <w:t>potreba zmeny zmluvy vyplynie z okolností, ktoré objednávateľ nemohol pri vynaložení náležitej starostlivosti predvídať,</w:t>
      </w:r>
    </w:p>
    <w:p w:rsidR="00CA768A" w:rsidRPr="00CA768A" w:rsidRDefault="00CA768A" w:rsidP="004258EA">
      <w:pPr>
        <w:numPr>
          <w:ilvl w:val="0"/>
          <w:numId w:val="11"/>
        </w:numPr>
        <w:contextualSpacing/>
        <w:rPr>
          <w:color w:val="auto"/>
          <w:szCs w:val="20"/>
          <w:lang w:eastAsia="en-US"/>
        </w:rPr>
      </w:pPr>
      <w:r w:rsidRPr="00CA768A">
        <w:rPr>
          <w:color w:val="auto"/>
          <w:szCs w:val="20"/>
          <w:lang w:eastAsia="en-US"/>
        </w:rPr>
        <w:t>v prípade vzniku skutočností definovaných ako vyššia moc alebo nepredvídaných  prekážok zo strany objednávateľa, nastane potreba vykonať formálne alebo administratívne zmeny zmluvy (napr. zmena  v osobe štatutárneho orgánu, sídla, zmena čísla bankového účtu a pod.).</w:t>
      </w:r>
    </w:p>
    <w:p w:rsidR="00CA768A" w:rsidRPr="00CA768A" w:rsidRDefault="00CA768A" w:rsidP="004258EA">
      <w:pPr>
        <w:numPr>
          <w:ilvl w:val="0"/>
          <w:numId w:val="9"/>
        </w:numPr>
        <w:ind w:left="284" w:hanging="284"/>
        <w:contextualSpacing/>
        <w:rPr>
          <w:color w:val="auto"/>
          <w:szCs w:val="20"/>
          <w:lang w:eastAsia="en-US"/>
        </w:rPr>
      </w:pPr>
      <w:r w:rsidRPr="00CA768A">
        <w:rPr>
          <w:color w:val="auto"/>
          <w:szCs w:val="20"/>
          <w:lang w:eastAsia="en-US"/>
        </w:rPr>
        <w:t>Zmluvné strany sú oprávnené dodatkom predĺžiť dobu trvania tejto zmluvy v prípade, ak počas pôvodne dohodnutej doby trvania tejto zmluvy nedôjde k vyčerpaniu celkovej zmluvnej ceny podľa čl. V ods. 3 tejto zmluvy v celom rozsahu.</w:t>
      </w:r>
    </w:p>
    <w:p w:rsidR="001B5A63" w:rsidRDefault="001B5A63">
      <w:pPr>
        <w:spacing w:after="0" w:line="259" w:lineRule="auto"/>
        <w:ind w:left="708" w:firstLine="0"/>
        <w:jc w:val="left"/>
      </w:pPr>
    </w:p>
    <w:p w:rsidR="00DE4A7B" w:rsidRDefault="00DE4A7B">
      <w:pPr>
        <w:spacing w:after="0" w:line="259" w:lineRule="auto"/>
        <w:ind w:left="708" w:firstLine="0"/>
        <w:jc w:val="left"/>
      </w:pPr>
    </w:p>
    <w:p w:rsidR="00DE4A7B" w:rsidRPr="007F23BC" w:rsidRDefault="00DE4A7B" w:rsidP="00DE4A7B">
      <w:pPr>
        <w:widowControl w:val="0"/>
        <w:autoSpaceDE w:val="0"/>
        <w:autoSpaceDN w:val="0"/>
        <w:spacing w:after="0" w:line="240" w:lineRule="auto"/>
        <w:ind w:left="0" w:right="1" w:firstLine="0"/>
        <w:jc w:val="center"/>
        <w:outlineLvl w:val="0"/>
        <w:rPr>
          <w:b/>
          <w:bCs/>
          <w:color w:val="auto"/>
          <w:szCs w:val="20"/>
          <w:lang w:eastAsia="en-US"/>
        </w:rPr>
      </w:pPr>
      <w:r w:rsidRPr="007F23BC">
        <w:rPr>
          <w:b/>
          <w:bCs/>
          <w:color w:val="auto"/>
          <w:szCs w:val="20"/>
          <w:lang w:eastAsia="en-US"/>
        </w:rPr>
        <w:t>Čl.  X</w:t>
      </w:r>
    </w:p>
    <w:p w:rsidR="00DE4A7B" w:rsidRPr="00DE4A7B" w:rsidRDefault="00DE4A7B" w:rsidP="00DE4A7B">
      <w:pPr>
        <w:widowControl w:val="0"/>
        <w:autoSpaceDE w:val="0"/>
        <w:autoSpaceDN w:val="0"/>
        <w:spacing w:after="0" w:line="240" w:lineRule="auto"/>
        <w:ind w:left="0" w:right="1" w:firstLine="0"/>
        <w:jc w:val="center"/>
        <w:outlineLvl w:val="0"/>
        <w:rPr>
          <w:b/>
          <w:bCs/>
          <w:color w:val="auto"/>
          <w:sz w:val="22"/>
          <w:lang w:eastAsia="en-US"/>
        </w:rPr>
      </w:pPr>
      <w:r w:rsidRPr="00DE4A7B">
        <w:rPr>
          <w:b/>
          <w:bCs/>
          <w:color w:val="auto"/>
          <w:szCs w:val="20"/>
          <w:lang w:eastAsia="en-US"/>
        </w:rPr>
        <w:t>Subdodávatelia</w:t>
      </w:r>
    </w:p>
    <w:p w:rsidR="00DE4A7B" w:rsidRPr="00DE4A7B" w:rsidRDefault="00DE4A7B" w:rsidP="00DE4A7B">
      <w:pPr>
        <w:widowControl w:val="0"/>
        <w:autoSpaceDE w:val="0"/>
        <w:autoSpaceDN w:val="0"/>
        <w:spacing w:before="4" w:after="0" w:line="240" w:lineRule="auto"/>
        <w:ind w:left="0" w:firstLine="0"/>
        <w:jc w:val="left"/>
        <w:rPr>
          <w:b/>
          <w:color w:val="auto"/>
          <w:sz w:val="22"/>
          <w:lang w:eastAsia="en-US"/>
        </w:rPr>
      </w:pPr>
    </w:p>
    <w:p w:rsidR="00DE4A7B" w:rsidRPr="00DE4A7B" w:rsidRDefault="00DE4A7B" w:rsidP="00DE4A7B">
      <w:pPr>
        <w:widowControl w:val="0"/>
        <w:numPr>
          <w:ilvl w:val="0"/>
          <w:numId w:val="10"/>
        </w:numPr>
        <w:autoSpaceDE w:val="0"/>
        <w:autoSpaceDN w:val="0"/>
        <w:ind w:left="426" w:hanging="426"/>
        <w:rPr>
          <w:color w:val="auto"/>
          <w:szCs w:val="20"/>
          <w:lang w:eastAsia="en-US"/>
        </w:rPr>
      </w:pPr>
      <w:r w:rsidRPr="00DE4A7B">
        <w:rPr>
          <w:color w:val="auto"/>
          <w:szCs w:val="20"/>
          <w:lang w:eastAsia="en-US"/>
        </w:rPr>
        <w:t xml:space="preserve">Zoznam subdodávateľov poskytovateľa, ktorý predložil poskytovateľ do času uzavretia zmluvy spolu  s uvedením údajov o všetkých známych subdodávateľoch v zmysle § 41 zákona o verejnom obstarávaní, údaje o osobe oprávnenej konať za subdodávateľa v rozsahu meno a priezvisko, adresa pobytu a dátum narodenia tvorí Prílohu č. </w:t>
      </w:r>
      <w:r w:rsidR="0034340D">
        <w:rPr>
          <w:color w:val="auto"/>
          <w:szCs w:val="20"/>
          <w:lang w:eastAsia="en-US"/>
        </w:rPr>
        <w:t>2</w:t>
      </w:r>
      <w:r w:rsidRPr="00DE4A7B">
        <w:rPr>
          <w:color w:val="auto"/>
          <w:szCs w:val="20"/>
          <w:lang w:eastAsia="en-US"/>
        </w:rPr>
        <w:t xml:space="preserve"> k tejto zmluve. Poskytovateľ je povinný písomne oznámiť objednávateľovi akúkoľvek zmenu údajov o subdodávateľovi, a to do piatich pracovných dní odo dňa, kedy sa poskytovateľ dozvedel o tejto zmene. </w:t>
      </w:r>
    </w:p>
    <w:p w:rsidR="00DE4A7B" w:rsidRPr="00DE4A7B" w:rsidRDefault="00DE4A7B" w:rsidP="00DE4A7B">
      <w:pPr>
        <w:widowControl w:val="0"/>
        <w:numPr>
          <w:ilvl w:val="0"/>
          <w:numId w:val="10"/>
        </w:numPr>
        <w:autoSpaceDE w:val="0"/>
        <w:autoSpaceDN w:val="0"/>
        <w:ind w:left="426" w:hanging="426"/>
        <w:rPr>
          <w:color w:val="auto"/>
          <w:szCs w:val="20"/>
          <w:lang w:eastAsia="en-US"/>
        </w:rPr>
      </w:pPr>
      <w:r w:rsidRPr="00DE4A7B">
        <w:rPr>
          <w:color w:val="auto"/>
          <w:szCs w:val="20"/>
          <w:lang w:eastAsia="en-US"/>
        </w:rPr>
        <w:t xml:space="preserve">Ak v čase uzavretia zmluvy poskytovateľovi neboli známi subdodávatelia a poskytovateľ má                            v úmysle realizovať predmet tejto zmluvy prostredníctvom subdodávateľa, poskytovateľ tak môže urobiť iba s predchádzajúcim písomným súhlasom objednávateľa. Zámer realizácie predmetu tejto zmluvy prostredníctvom subdodávateľa poskytovateľ bezodkladne písomne oznámi objednávateľovi  s uvedením údajov o osobe oprávnenej konať za subdodávateľa v rozsahu meno a priezvisko, adresa pobytu a dátum narodenia. </w:t>
      </w:r>
    </w:p>
    <w:p w:rsidR="00DE4A7B" w:rsidRPr="00DE4A7B" w:rsidRDefault="00DE4A7B" w:rsidP="00145F68">
      <w:pPr>
        <w:widowControl w:val="0"/>
        <w:numPr>
          <w:ilvl w:val="0"/>
          <w:numId w:val="10"/>
        </w:numPr>
        <w:autoSpaceDE w:val="0"/>
        <w:autoSpaceDN w:val="0"/>
        <w:ind w:left="426" w:hanging="426"/>
        <w:rPr>
          <w:color w:val="auto"/>
          <w:szCs w:val="20"/>
          <w:lang w:eastAsia="en-US"/>
        </w:rPr>
      </w:pPr>
      <w:r w:rsidRPr="00DE4A7B">
        <w:rPr>
          <w:color w:val="auto"/>
          <w:szCs w:val="20"/>
          <w:lang w:eastAsia="en-US"/>
        </w:rPr>
        <w:t xml:space="preserve">K zmene subdodávateľa môže dôjsť len po odsúhlasení objednávateľom. Poskytovateľ je povinný najneskôr 5 pracovných dní pred dňom, ktorý predchádza dňu, v ktorom nastane zmena subdodávateľa, písomne oznámiť objednávateľovi zámer zmeny subdodávateľa s uvedením identifikačných údajov pôvodného aj nového subdodávateľa, údaje o osobe oprávnenej konať za subdodávateľa v rozsahu meno a priezvisko, adresa pobytu a dátum narodenia (aktualizovaný zoznam subdodávateľov. </w:t>
      </w:r>
    </w:p>
    <w:p w:rsidR="00DE4A7B" w:rsidRPr="00DE4A7B" w:rsidRDefault="00DE4A7B" w:rsidP="00145F68">
      <w:pPr>
        <w:widowControl w:val="0"/>
        <w:numPr>
          <w:ilvl w:val="0"/>
          <w:numId w:val="10"/>
        </w:numPr>
        <w:autoSpaceDE w:val="0"/>
        <w:autoSpaceDN w:val="0"/>
        <w:ind w:left="426" w:hanging="426"/>
        <w:rPr>
          <w:color w:val="auto"/>
          <w:szCs w:val="20"/>
          <w:lang w:eastAsia="en-US"/>
        </w:rPr>
      </w:pPr>
      <w:r w:rsidRPr="00DE4A7B">
        <w:rPr>
          <w:color w:val="auto"/>
          <w:szCs w:val="20"/>
          <w:lang w:eastAsia="en-US"/>
        </w:rPr>
        <w:t xml:space="preserve">Poskytovateľ je povinný postupovať pri výbere subdodávateľa tak, aby náklady vynaložené na </w:t>
      </w:r>
      <w:r w:rsidRPr="00DE4A7B">
        <w:rPr>
          <w:color w:val="auto"/>
          <w:szCs w:val="20"/>
          <w:lang w:eastAsia="en-US"/>
        </w:rPr>
        <w:lastRenderedPageBreak/>
        <w:t>zabezpečenie plnenia predmetu zmluvy boli primerané jeho kvalite a cene a tak, že subdodávatelia podieľajúci sa na plnení predmetu zmluvy budú kvalifikovaní na svoje profesie vzťahujúce sa na plnenie tejto zmluvy a budú mať potrebné oprávnenia a osvedčenia potrebné k plneniu predmetu zmluvy.</w:t>
      </w:r>
    </w:p>
    <w:p w:rsidR="00DE4A7B" w:rsidRDefault="00DE4A7B">
      <w:pPr>
        <w:spacing w:after="0" w:line="259" w:lineRule="auto"/>
        <w:ind w:left="708" w:firstLine="0"/>
        <w:jc w:val="left"/>
      </w:pPr>
    </w:p>
    <w:p w:rsidR="00D4440E" w:rsidRDefault="00B04ECA">
      <w:pPr>
        <w:pStyle w:val="Nadpis1"/>
        <w:ind w:left="10" w:right="7"/>
      </w:pPr>
      <w:r>
        <w:t>Čl. X</w:t>
      </w:r>
      <w:r w:rsidR="00CA768A">
        <w:t>I</w:t>
      </w:r>
      <w:r>
        <w:t xml:space="preserve"> </w:t>
      </w:r>
    </w:p>
    <w:p w:rsidR="001B5A63" w:rsidRDefault="00B04ECA">
      <w:pPr>
        <w:pStyle w:val="Nadpis1"/>
        <w:ind w:left="10" w:right="7"/>
      </w:pPr>
      <w:r>
        <w:t xml:space="preserve">Záverečné ustanovenia </w:t>
      </w:r>
    </w:p>
    <w:p w:rsidR="001B5A63" w:rsidRDefault="00B04ECA">
      <w:pPr>
        <w:spacing w:after="19" w:line="259" w:lineRule="auto"/>
        <w:ind w:left="50" w:firstLine="0"/>
        <w:jc w:val="center"/>
      </w:pPr>
      <w:r>
        <w:rPr>
          <w:b/>
        </w:rPr>
        <w:t xml:space="preserve"> </w:t>
      </w:r>
    </w:p>
    <w:p w:rsidR="001B5A63" w:rsidRDefault="00B04ECA" w:rsidP="004E6C0F">
      <w:pPr>
        <w:numPr>
          <w:ilvl w:val="0"/>
          <w:numId w:val="7"/>
        </w:numPr>
        <w:spacing w:line="264" w:lineRule="auto"/>
        <w:ind w:left="425" w:hanging="425"/>
      </w:pPr>
      <w:r>
        <w:t xml:space="preserve">Zmluvné strany sa dohodli, že akékoľvek písomnosti, vyplývajúce z právneho vzťahu založeného touto zmluvou, sa budú doručovať na adresu sídla zmluvných strán. Písomnosti (napr. faktúry, výpoveď zmluvy, odstúpenie od zmluvy, uplatnenie zmluvnej pokuty) sa považujú za doručené aj v prípade, ak sa doporučená zásielka adresovaná na adresu sídla zmluvnej strany vráti druhej (odosielajúcej) zmluvnej strane ako neprevzatá (napríklad z dôvodu odopretia prevzatia písomnosti alebo neprevzatia písomnosti v odbernej lehote, prípadne z dôvodu neznámeho adresáta); </w:t>
      </w:r>
      <w:r w:rsidR="007D0314">
        <w:t xml:space="preserve">                               </w:t>
      </w:r>
      <w:r>
        <w:t xml:space="preserve">v uvedenom prípade sa písomnosti považujú za doručené dňom, keď boli odosielajúcej zmluvnej strane vrátené i keď sa adresát o tom nedozvedel. </w:t>
      </w:r>
    </w:p>
    <w:p w:rsidR="001B5A63" w:rsidRPr="004258EA" w:rsidRDefault="00B04ECA" w:rsidP="004E6C0F">
      <w:pPr>
        <w:numPr>
          <w:ilvl w:val="0"/>
          <w:numId w:val="7"/>
        </w:numPr>
        <w:ind w:hanging="427"/>
        <w:rPr>
          <w:color w:val="auto"/>
        </w:rPr>
      </w:pPr>
      <w:r>
        <w:t>Táto zmluva sa uzatvára na dobu určitú</w:t>
      </w:r>
      <w:r w:rsidR="007D0314">
        <w:t>,</w:t>
      </w:r>
      <w:r>
        <w:t xml:space="preserve"> a to na obdobie </w:t>
      </w:r>
      <w:r w:rsidR="00CA768A">
        <w:t>12</w:t>
      </w:r>
      <w:r w:rsidR="00D4440E">
        <w:t xml:space="preserve"> mesiacov</w:t>
      </w:r>
      <w:r>
        <w:t xml:space="preserve"> odo dňa jej účinnosti, alebo do vyčerpania finančného limitu, stanoveného v čl. V ods. 3, t. j. </w:t>
      </w:r>
      <w:r w:rsidR="00D4440E">
        <w:t>............</w:t>
      </w:r>
      <w:r>
        <w:t xml:space="preserve">,- Eur bez DPH, podľa toho, ktorá z uvedených právnych skutočností nastane skôr. </w:t>
      </w:r>
      <w:r w:rsidR="004E6C0F" w:rsidRPr="004258EA">
        <w:rPr>
          <w:color w:val="auto"/>
        </w:rPr>
        <w:t>Zmluvné strany sú oprávnené dodatkom predĺžiť dobu trvania tejto zmluvy v prípade, ak počas pôvodne dohodnutej doby trvania tejto zmluvy nedôjde k vyčerpaniu celkovej zmluvnej ceny podľa čl. V ods. 3 tejto zmluvy v celom rozsahu.</w:t>
      </w:r>
      <w:r w:rsidRPr="004258EA">
        <w:rPr>
          <w:color w:val="auto"/>
        </w:rPr>
        <w:t xml:space="preserve"> </w:t>
      </w:r>
    </w:p>
    <w:p w:rsidR="001B5A63" w:rsidRDefault="00B04ECA">
      <w:pPr>
        <w:numPr>
          <w:ilvl w:val="0"/>
          <w:numId w:val="7"/>
        </w:numPr>
        <w:ind w:hanging="427"/>
      </w:pPr>
      <w:r>
        <w:t xml:space="preserve">Táto zmluva nadobúda platnosť dňom jej podpísania oboma jej stranami a účinnosť odo dňa nasledujúceho po dni jej zverejnenia v Centrálnom registri zmlúv Úradu vlády Slovenskej republiky. </w:t>
      </w:r>
    </w:p>
    <w:p w:rsidR="00CA768A" w:rsidRDefault="00CA768A" w:rsidP="00CA768A">
      <w:pPr>
        <w:numPr>
          <w:ilvl w:val="0"/>
          <w:numId w:val="7"/>
        </w:numPr>
        <w:spacing w:line="264" w:lineRule="auto"/>
        <w:ind w:hanging="427"/>
      </w:pPr>
      <w:r>
        <w:t xml:space="preserve">Táto zmluva je vyhotovená v štyroch rovnopisoch, z ktorých poskytovateľ </w:t>
      </w:r>
      <w:r w:rsidR="007D0314">
        <w:t>dostane</w:t>
      </w:r>
      <w:r>
        <w:t xml:space="preserve"> dva </w:t>
      </w:r>
      <w:r w:rsidR="007D0314">
        <w:t xml:space="preserve">                                        </w:t>
      </w:r>
      <w:r>
        <w:t xml:space="preserve">a objednávateľ dva rovnopisy. </w:t>
      </w:r>
    </w:p>
    <w:p w:rsidR="001B5A63" w:rsidRDefault="00B04ECA">
      <w:pPr>
        <w:numPr>
          <w:ilvl w:val="0"/>
          <w:numId w:val="7"/>
        </w:numPr>
        <w:ind w:hanging="427"/>
      </w:pPr>
      <w:r>
        <w:t xml:space="preserve">Zmluvné strany si zmluvu riadne prečítali, jej obsahu porozumeli a na znak súhlasu s jej znením ju osoby oprávnené konať menom zmluvných strán vlastnoručne podpísali.  </w:t>
      </w:r>
    </w:p>
    <w:p w:rsidR="00D4440E" w:rsidRDefault="00B04ECA">
      <w:pPr>
        <w:numPr>
          <w:ilvl w:val="0"/>
          <w:numId w:val="7"/>
        </w:numPr>
        <w:ind w:hanging="427"/>
      </w:pPr>
      <w:r>
        <w:t xml:space="preserve">Nedeliteľnou súčasťou zmluvy je: </w:t>
      </w:r>
    </w:p>
    <w:p w:rsidR="001B5A63" w:rsidRDefault="00B04ECA" w:rsidP="00D4440E">
      <w:pPr>
        <w:ind w:left="427" w:firstLine="0"/>
      </w:pPr>
      <w:r>
        <w:t xml:space="preserve">Príloha č. 1 – </w:t>
      </w:r>
      <w:r w:rsidR="00CA768A">
        <w:t>Druhy a o</w:t>
      </w:r>
      <w:r>
        <w:t xml:space="preserve">cenený zoznam vybraných položiek predmetu zmluvy </w:t>
      </w:r>
    </w:p>
    <w:p w:rsidR="0034340D" w:rsidRDefault="0034340D" w:rsidP="00D4440E">
      <w:pPr>
        <w:ind w:left="427" w:firstLine="0"/>
      </w:pPr>
      <w:r>
        <w:t xml:space="preserve">Príloha č. 2 – Zoznam subdodávateľov </w:t>
      </w:r>
    </w:p>
    <w:p w:rsidR="001B5A63" w:rsidRDefault="00B04EC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:rsidR="001B5A63" w:rsidRDefault="00B04ECA" w:rsidP="00150AB1">
      <w:pPr>
        <w:spacing w:after="0" w:line="259" w:lineRule="auto"/>
        <w:ind w:left="0" w:firstLine="0"/>
        <w:jc w:val="left"/>
      </w:pPr>
      <w:r>
        <w:t xml:space="preserve">  </w:t>
      </w:r>
    </w:p>
    <w:p w:rsidR="001B5A63" w:rsidRDefault="00B04ECA">
      <w:pPr>
        <w:tabs>
          <w:tab w:val="center" w:pos="3545"/>
          <w:tab w:val="right" w:pos="9074"/>
        </w:tabs>
        <w:ind w:left="-15" w:firstLine="0"/>
        <w:jc w:val="left"/>
      </w:pPr>
      <w:r>
        <w:t xml:space="preserve">V </w:t>
      </w:r>
      <w:r w:rsidR="00D4440E">
        <w:t>...................</w:t>
      </w:r>
      <w:r>
        <w:t>, dňa ..................... 20</w:t>
      </w:r>
      <w:r w:rsidR="00D4440E">
        <w:t>20</w:t>
      </w:r>
      <w:r>
        <w:t xml:space="preserve"> </w:t>
      </w:r>
      <w:r>
        <w:tab/>
        <w:t xml:space="preserve"> </w:t>
      </w:r>
      <w:r>
        <w:tab/>
        <w:t xml:space="preserve">                     V </w:t>
      </w:r>
      <w:r w:rsidR="00D4440E">
        <w:t>...................</w:t>
      </w:r>
      <w:r>
        <w:t>, dňa ............................20</w:t>
      </w:r>
      <w:r w:rsidR="00D4440E">
        <w:t>20</w:t>
      </w:r>
      <w:r>
        <w:t xml:space="preserve"> </w:t>
      </w:r>
    </w:p>
    <w:p w:rsidR="001B5A63" w:rsidRDefault="00B04ECA">
      <w:pPr>
        <w:spacing w:after="0" w:line="259" w:lineRule="auto"/>
        <w:ind w:left="0" w:firstLine="0"/>
        <w:jc w:val="left"/>
      </w:pPr>
      <w:r>
        <w:t xml:space="preserve"> </w:t>
      </w:r>
    </w:p>
    <w:p w:rsidR="001B5A63" w:rsidRDefault="00B04ECA">
      <w:pPr>
        <w:spacing w:after="0" w:line="259" w:lineRule="auto"/>
        <w:ind w:left="0" w:firstLine="0"/>
        <w:jc w:val="left"/>
      </w:pPr>
      <w:r>
        <w:t xml:space="preserve"> </w:t>
      </w:r>
    </w:p>
    <w:p w:rsidR="001B5A63" w:rsidRDefault="00B04ECA">
      <w:pPr>
        <w:spacing w:after="6" w:line="259" w:lineRule="auto"/>
        <w:ind w:left="0" w:firstLine="0"/>
        <w:jc w:val="left"/>
      </w:pPr>
      <w:r>
        <w:t xml:space="preserve">  </w:t>
      </w:r>
    </w:p>
    <w:p w:rsidR="001B5A63" w:rsidRDefault="00B04ECA">
      <w:pPr>
        <w:tabs>
          <w:tab w:val="center" w:pos="2837"/>
          <w:tab w:val="center" w:pos="3545"/>
          <w:tab w:val="center" w:pos="4253"/>
          <w:tab w:val="center" w:pos="4964"/>
          <w:tab w:val="center" w:pos="6778"/>
        </w:tabs>
        <w:ind w:left="-15" w:firstLine="0"/>
        <w:jc w:val="left"/>
      </w:pPr>
      <w:r>
        <w:t xml:space="preserve">               Za poskytovateľa: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Za  objednávateľa: </w:t>
      </w:r>
    </w:p>
    <w:p w:rsidR="001B5A63" w:rsidRDefault="00B04ECA">
      <w:pPr>
        <w:spacing w:after="0" w:line="259" w:lineRule="auto"/>
        <w:ind w:left="0" w:firstLine="0"/>
        <w:jc w:val="left"/>
      </w:pPr>
      <w:r>
        <w:t xml:space="preserve"> </w:t>
      </w:r>
    </w:p>
    <w:p w:rsidR="001B5A63" w:rsidRDefault="00B04ECA">
      <w:pPr>
        <w:spacing w:after="0" w:line="259" w:lineRule="auto"/>
        <w:ind w:left="0" w:firstLine="0"/>
        <w:jc w:val="left"/>
      </w:pPr>
      <w:r>
        <w:t xml:space="preserve"> </w:t>
      </w:r>
    </w:p>
    <w:p w:rsidR="001B5A63" w:rsidRDefault="00B04ECA">
      <w:pPr>
        <w:spacing w:after="0" w:line="259" w:lineRule="auto"/>
        <w:ind w:left="0" w:firstLine="0"/>
        <w:jc w:val="left"/>
      </w:pPr>
      <w:r>
        <w:t xml:space="preserve"> </w:t>
      </w:r>
    </w:p>
    <w:p w:rsidR="001B5A63" w:rsidRDefault="00B04ECA">
      <w:pPr>
        <w:spacing w:after="0" w:line="259" w:lineRule="auto"/>
        <w:ind w:left="0" w:firstLine="0"/>
        <w:jc w:val="left"/>
      </w:pPr>
      <w:r>
        <w:t xml:space="preserve"> </w:t>
      </w:r>
    </w:p>
    <w:p w:rsidR="001B5A63" w:rsidRDefault="00B04ECA">
      <w:pPr>
        <w:spacing w:after="0" w:line="259" w:lineRule="auto"/>
        <w:ind w:left="0" w:firstLine="0"/>
        <w:jc w:val="left"/>
      </w:pPr>
      <w:r>
        <w:t xml:space="preserve"> </w:t>
      </w:r>
    </w:p>
    <w:p w:rsidR="001B5A63" w:rsidRDefault="00B04ECA">
      <w:pPr>
        <w:spacing w:after="0" w:line="259" w:lineRule="auto"/>
        <w:ind w:left="0" w:firstLine="0"/>
        <w:jc w:val="left"/>
      </w:pPr>
      <w:r>
        <w:t xml:space="preserve"> </w:t>
      </w:r>
    </w:p>
    <w:p w:rsidR="001B5A63" w:rsidRDefault="00B04ECA">
      <w:pPr>
        <w:spacing w:after="0" w:line="259" w:lineRule="auto"/>
        <w:ind w:left="0" w:firstLine="0"/>
        <w:jc w:val="left"/>
      </w:pPr>
      <w:r>
        <w:t xml:space="preserve"> </w:t>
      </w:r>
    </w:p>
    <w:p w:rsidR="00D4440E" w:rsidRDefault="00B04ECA" w:rsidP="00D4440E">
      <w:pPr>
        <w:ind w:left="-5"/>
      </w:pPr>
      <w:r>
        <w:t xml:space="preserve">...........................................................                          .................................................................              </w:t>
      </w:r>
      <w:r>
        <w:tab/>
        <w:t xml:space="preserve">                          </w:t>
      </w:r>
      <w:r>
        <w:tab/>
        <w:t xml:space="preserve">    </w:t>
      </w:r>
      <w:r>
        <w:tab/>
        <w:t xml:space="preserve">                             </w:t>
      </w:r>
      <w:r w:rsidR="00D4440E">
        <w:t xml:space="preserve">                              prof. RNDr. Pavol </w:t>
      </w:r>
      <w:proofErr w:type="spellStart"/>
      <w:r w:rsidR="00D4440E">
        <w:t>Sovák</w:t>
      </w:r>
      <w:proofErr w:type="spellEnd"/>
      <w:r w:rsidR="00D4440E">
        <w:t>, CSc.</w:t>
      </w:r>
    </w:p>
    <w:p w:rsidR="004258EA" w:rsidRDefault="004258EA" w:rsidP="00D37D0B">
      <w:pPr>
        <w:ind w:left="6367" w:firstLine="713"/>
      </w:pPr>
      <w:r>
        <w:t xml:space="preserve"> rektor</w:t>
      </w:r>
    </w:p>
    <w:p w:rsidR="004258EA" w:rsidRDefault="004258EA" w:rsidP="004258EA">
      <w:pPr>
        <w:ind w:left="0" w:firstLine="0"/>
      </w:pPr>
    </w:p>
    <w:p w:rsidR="007F23BC" w:rsidRDefault="007F23BC" w:rsidP="004258EA">
      <w:pPr>
        <w:ind w:left="0" w:firstLine="0"/>
      </w:pPr>
    </w:p>
    <w:p w:rsidR="007F23BC" w:rsidRDefault="007F23BC" w:rsidP="004258EA">
      <w:pPr>
        <w:ind w:left="0" w:firstLine="0"/>
      </w:pPr>
    </w:p>
    <w:p w:rsidR="007F23BC" w:rsidRDefault="007F23BC" w:rsidP="004258EA">
      <w:pPr>
        <w:ind w:left="0" w:firstLine="0"/>
      </w:pPr>
    </w:p>
    <w:p w:rsidR="007F23BC" w:rsidRDefault="007F23BC" w:rsidP="004258EA">
      <w:pPr>
        <w:ind w:left="0" w:firstLine="0"/>
      </w:pPr>
    </w:p>
    <w:p w:rsidR="007F23BC" w:rsidRDefault="007F23BC" w:rsidP="004258EA">
      <w:pPr>
        <w:ind w:left="0" w:firstLine="0"/>
      </w:pPr>
    </w:p>
    <w:p w:rsidR="007F23BC" w:rsidRDefault="007F23BC" w:rsidP="004258EA">
      <w:pPr>
        <w:ind w:left="0" w:firstLine="0"/>
      </w:pPr>
    </w:p>
    <w:p w:rsidR="007F23BC" w:rsidRDefault="007F23BC" w:rsidP="004258EA">
      <w:pPr>
        <w:ind w:left="0" w:firstLine="0"/>
      </w:pPr>
    </w:p>
    <w:p w:rsidR="007F23BC" w:rsidRDefault="007F23BC" w:rsidP="004258EA">
      <w:pPr>
        <w:ind w:left="0" w:firstLine="0"/>
      </w:pPr>
    </w:p>
    <w:p w:rsidR="007F23BC" w:rsidRDefault="007F23BC" w:rsidP="004258EA">
      <w:pPr>
        <w:ind w:left="0" w:firstLine="0"/>
      </w:pPr>
    </w:p>
    <w:p w:rsidR="007F23BC" w:rsidRDefault="007F23BC" w:rsidP="004258EA">
      <w:pPr>
        <w:ind w:left="0" w:firstLine="0"/>
      </w:pPr>
    </w:p>
    <w:p w:rsidR="007F23BC" w:rsidRDefault="007F23BC" w:rsidP="007F23BC">
      <w:pPr>
        <w:ind w:left="0" w:firstLine="0"/>
      </w:pPr>
      <w:bookmarkStart w:id="0" w:name="_GoBack"/>
      <w:bookmarkEnd w:id="0"/>
    </w:p>
    <w:p w:rsidR="007F23BC" w:rsidRPr="004258EA" w:rsidRDefault="007F23BC" w:rsidP="007F23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auto"/>
          <w:szCs w:val="20"/>
        </w:rPr>
      </w:pPr>
      <w:r w:rsidRPr="004258EA">
        <w:rPr>
          <w:color w:val="auto"/>
          <w:szCs w:val="20"/>
        </w:rPr>
        <w:t xml:space="preserve">Príloha č. </w:t>
      </w:r>
      <w:r>
        <w:rPr>
          <w:color w:val="auto"/>
          <w:szCs w:val="20"/>
        </w:rPr>
        <w:t>2</w:t>
      </w:r>
    </w:p>
    <w:p w:rsidR="007F23BC" w:rsidRPr="004258EA" w:rsidRDefault="007F23BC" w:rsidP="007F23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auto"/>
          <w:szCs w:val="20"/>
        </w:rPr>
      </w:pPr>
    </w:p>
    <w:p w:rsidR="007F23BC" w:rsidRPr="004258EA" w:rsidRDefault="007F23BC" w:rsidP="007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auto"/>
          <w:sz w:val="28"/>
          <w:szCs w:val="28"/>
        </w:rPr>
      </w:pPr>
      <w:r w:rsidRPr="004258EA">
        <w:rPr>
          <w:b/>
          <w:color w:val="auto"/>
          <w:sz w:val="28"/>
          <w:szCs w:val="28"/>
        </w:rPr>
        <w:t>Zoznam subdodávateľov</w:t>
      </w:r>
    </w:p>
    <w:p w:rsidR="007F23BC" w:rsidRDefault="007F23BC" w:rsidP="007F23BC"/>
    <w:p w:rsidR="007F23BC" w:rsidRPr="001515B5" w:rsidRDefault="007F23BC" w:rsidP="007F23BC">
      <w:pPr>
        <w:kinsoku w:val="0"/>
        <w:overflowPunct w:val="0"/>
        <w:spacing w:after="0" w:line="240" w:lineRule="auto"/>
        <w:rPr>
          <w:u w:val="single"/>
        </w:rPr>
      </w:pPr>
      <w:r w:rsidRPr="001515B5">
        <w:rPr>
          <w:u w:val="single"/>
        </w:rPr>
        <w:t>Predmet zmluvy</w:t>
      </w:r>
      <w:r w:rsidRPr="001515B5">
        <w:rPr>
          <w:caps/>
          <w:u w:val="single"/>
        </w:rPr>
        <w:t>:</w:t>
      </w:r>
    </w:p>
    <w:p w:rsidR="007F23BC" w:rsidRDefault="007F23BC" w:rsidP="007F23BC">
      <w:pPr>
        <w:suppressAutoHyphens/>
        <w:spacing w:after="0" w:line="240" w:lineRule="auto"/>
        <w:rPr>
          <w:lang w:eastAsia="ar-SA"/>
        </w:rPr>
      </w:pPr>
    </w:p>
    <w:p w:rsidR="007F23BC" w:rsidRPr="001515B5" w:rsidRDefault="007F23BC" w:rsidP="007F23BC">
      <w:pPr>
        <w:suppressAutoHyphens/>
        <w:spacing w:after="0" w:line="240" w:lineRule="auto"/>
        <w:rPr>
          <w:lang w:eastAsia="ar-SA"/>
        </w:rPr>
      </w:pPr>
      <w:r w:rsidRPr="00145F68">
        <w:rPr>
          <w:b/>
          <w:sz w:val="24"/>
          <w:szCs w:val="24"/>
        </w:rPr>
        <w:t>Zber, odvoz, zhodnotenie a zneškodňovania nebezpečného a iného odpadu</w:t>
      </w:r>
    </w:p>
    <w:p w:rsidR="007F23BC" w:rsidRPr="001515B5" w:rsidRDefault="007F23BC" w:rsidP="007F23BC">
      <w:pPr>
        <w:suppressAutoHyphens/>
        <w:spacing w:after="0" w:line="240" w:lineRule="auto"/>
        <w:rPr>
          <w:lang w:eastAsia="ar-SA"/>
        </w:rPr>
      </w:pPr>
    </w:p>
    <w:tbl>
      <w:tblPr>
        <w:tblW w:w="97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2186"/>
        <w:gridCol w:w="3815"/>
      </w:tblGrid>
      <w:tr w:rsidR="007F23BC" w:rsidRPr="001515B5" w:rsidTr="009D0600">
        <w:trPr>
          <w:trHeight w:val="1133"/>
        </w:trPr>
        <w:tc>
          <w:tcPr>
            <w:tcW w:w="3753" w:type="dxa"/>
            <w:tcBorders>
              <w:bottom w:val="double" w:sz="4" w:space="0" w:color="auto"/>
            </w:tcBorders>
            <w:vAlign w:val="center"/>
          </w:tcPr>
          <w:p w:rsidR="007F23BC" w:rsidRPr="001515B5" w:rsidRDefault="007F23BC" w:rsidP="009D0600">
            <w:pPr>
              <w:suppressAutoHyphens/>
              <w:spacing w:after="0" w:line="276" w:lineRule="auto"/>
              <w:ind w:left="708"/>
              <w:jc w:val="center"/>
              <w:rPr>
                <w:b/>
                <w:color w:val="20231E"/>
                <w:sz w:val="18"/>
                <w:szCs w:val="18"/>
                <w:lang w:eastAsia="en-US"/>
              </w:rPr>
            </w:pPr>
            <w:r w:rsidRPr="001515B5">
              <w:rPr>
                <w:b/>
                <w:color w:val="20231E"/>
                <w:sz w:val="18"/>
                <w:szCs w:val="18"/>
                <w:lang w:eastAsia="en-US"/>
              </w:rPr>
              <w:t xml:space="preserve">Názov subdodávateľa, </w:t>
            </w:r>
          </w:p>
          <w:p w:rsidR="007F23BC" w:rsidRPr="001515B5" w:rsidRDefault="007F23BC" w:rsidP="009D0600">
            <w:pPr>
              <w:suppressAutoHyphens/>
              <w:spacing w:after="0" w:line="276" w:lineRule="auto"/>
              <w:ind w:left="708"/>
              <w:jc w:val="center"/>
              <w:rPr>
                <w:b/>
                <w:color w:val="20231E"/>
                <w:sz w:val="18"/>
                <w:szCs w:val="18"/>
                <w:lang w:eastAsia="en-US"/>
              </w:rPr>
            </w:pPr>
            <w:r w:rsidRPr="001515B5">
              <w:rPr>
                <w:b/>
                <w:color w:val="20231E"/>
                <w:sz w:val="18"/>
                <w:szCs w:val="18"/>
                <w:lang w:eastAsia="en-US"/>
              </w:rPr>
              <w:t> sídlo subdodávateľa</w:t>
            </w:r>
          </w:p>
          <w:p w:rsidR="007F23BC" w:rsidRPr="001515B5" w:rsidRDefault="007F23BC" w:rsidP="009D0600">
            <w:pPr>
              <w:suppressAutoHyphens/>
              <w:spacing w:after="0" w:line="276" w:lineRule="auto"/>
              <w:ind w:left="708"/>
              <w:jc w:val="center"/>
              <w:rPr>
                <w:b/>
                <w:color w:val="20231E"/>
                <w:sz w:val="18"/>
                <w:szCs w:val="18"/>
                <w:lang w:eastAsia="en-US"/>
              </w:rPr>
            </w:pPr>
            <w:r w:rsidRPr="001515B5">
              <w:rPr>
                <w:b/>
                <w:color w:val="20231E"/>
                <w:sz w:val="18"/>
                <w:szCs w:val="18"/>
                <w:lang w:eastAsia="en-US"/>
              </w:rPr>
              <w:t>IČO</w:t>
            </w:r>
          </w:p>
        </w:tc>
        <w:tc>
          <w:tcPr>
            <w:tcW w:w="2186" w:type="dxa"/>
            <w:tcBorders>
              <w:bottom w:val="double" w:sz="4" w:space="0" w:color="auto"/>
            </w:tcBorders>
            <w:vAlign w:val="center"/>
          </w:tcPr>
          <w:p w:rsidR="007F23BC" w:rsidRPr="001515B5" w:rsidRDefault="007F23BC" w:rsidP="009D0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color w:val="20231E"/>
                <w:sz w:val="18"/>
                <w:szCs w:val="18"/>
                <w:lang w:eastAsia="en-US"/>
              </w:rPr>
            </w:pPr>
            <w:r w:rsidRPr="001515B5">
              <w:rPr>
                <w:rFonts w:eastAsiaTheme="minorHAnsi"/>
                <w:b/>
                <w:color w:val="20231E"/>
                <w:sz w:val="18"/>
                <w:szCs w:val="18"/>
                <w:lang w:eastAsia="en-US"/>
              </w:rPr>
              <w:t>Podiel subdodávky z celkovej ceny predmetu zákazky:</w:t>
            </w:r>
          </w:p>
          <w:p w:rsidR="007F23BC" w:rsidRPr="001515B5" w:rsidRDefault="007F23BC" w:rsidP="009D0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color w:val="20231E"/>
                <w:sz w:val="18"/>
                <w:szCs w:val="18"/>
                <w:lang w:eastAsia="en-US"/>
              </w:rPr>
            </w:pPr>
            <w:r w:rsidRPr="001515B5">
              <w:rPr>
                <w:rFonts w:eastAsiaTheme="minorHAnsi"/>
                <w:b/>
                <w:color w:val="20231E"/>
                <w:sz w:val="18"/>
                <w:szCs w:val="18"/>
                <w:lang w:eastAsia="en-US"/>
              </w:rPr>
              <w:t xml:space="preserve">profesia </w:t>
            </w:r>
          </w:p>
          <w:p w:rsidR="007F23BC" w:rsidRPr="001515B5" w:rsidRDefault="007F23BC" w:rsidP="009D0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515B5">
              <w:rPr>
                <w:rFonts w:eastAsiaTheme="minorHAnsi"/>
                <w:b/>
                <w:color w:val="20231E"/>
                <w:sz w:val="18"/>
                <w:szCs w:val="18"/>
                <w:lang w:eastAsia="en-US"/>
              </w:rPr>
              <w:t>% subdodávky</w:t>
            </w:r>
          </w:p>
        </w:tc>
        <w:tc>
          <w:tcPr>
            <w:tcW w:w="3815" w:type="dxa"/>
            <w:tcBorders>
              <w:bottom w:val="double" w:sz="4" w:space="0" w:color="auto"/>
            </w:tcBorders>
            <w:vAlign w:val="center"/>
          </w:tcPr>
          <w:p w:rsidR="007F23BC" w:rsidRPr="001515B5" w:rsidRDefault="007F23BC" w:rsidP="009D0600">
            <w:pPr>
              <w:suppressAutoHyphens/>
              <w:spacing w:after="0" w:line="276" w:lineRule="auto"/>
              <w:jc w:val="center"/>
              <w:rPr>
                <w:b/>
                <w:color w:val="20231E"/>
                <w:sz w:val="18"/>
                <w:szCs w:val="18"/>
                <w:lang w:eastAsia="en-US"/>
              </w:rPr>
            </w:pPr>
            <w:r w:rsidRPr="001515B5">
              <w:rPr>
                <w:b/>
                <w:sz w:val="18"/>
                <w:szCs w:val="18"/>
                <w:lang w:eastAsia="en-US"/>
              </w:rPr>
              <w:t>Osoba oprávnená konať za subdodávateľa (meno a priezvisko, funkcia, adresa pobytu, dátum narodenia)</w:t>
            </w:r>
          </w:p>
        </w:tc>
      </w:tr>
      <w:tr w:rsidR="007F23BC" w:rsidRPr="001515B5" w:rsidTr="009D0600">
        <w:trPr>
          <w:trHeight w:val="809"/>
        </w:trPr>
        <w:tc>
          <w:tcPr>
            <w:tcW w:w="3753" w:type="dxa"/>
            <w:tcBorders>
              <w:top w:val="double" w:sz="4" w:space="0" w:color="auto"/>
            </w:tcBorders>
          </w:tcPr>
          <w:p w:rsidR="007F23BC" w:rsidRPr="001515B5" w:rsidRDefault="007F23BC" w:rsidP="009D0600">
            <w:pPr>
              <w:suppressAutoHyphens/>
              <w:spacing w:after="0" w:line="276" w:lineRule="auto"/>
              <w:ind w:left="31"/>
              <w:rPr>
                <w:color w:val="20231E"/>
                <w:lang w:eastAsia="en-US"/>
              </w:rPr>
            </w:pPr>
          </w:p>
        </w:tc>
        <w:tc>
          <w:tcPr>
            <w:tcW w:w="2186" w:type="dxa"/>
            <w:tcBorders>
              <w:top w:val="double" w:sz="4" w:space="0" w:color="auto"/>
            </w:tcBorders>
            <w:vAlign w:val="center"/>
          </w:tcPr>
          <w:p w:rsidR="007F23BC" w:rsidRPr="001515B5" w:rsidRDefault="007F23BC" w:rsidP="009D0600">
            <w:pPr>
              <w:suppressAutoHyphens/>
              <w:spacing w:after="0" w:line="276" w:lineRule="auto"/>
              <w:ind w:left="-11"/>
              <w:jc w:val="center"/>
              <w:rPr>
                <w:color w:val="20231E"/>
                <w:lang w:eastAsia="en-US"/>
              </w:rPr>
            </w:pPr>
          </w:p>
        </w:tc>
        <w:tc>
          <w:tcPr>
            <w:tcW w:w="3815" w:type="dxa"/>
            <w:tcBorders>
              <w:top w:val="double" w:sz="4" w:space="0" w:color="auto"/>
            </w:tcBorders>
          </w:tcPr>
          <w:p w:rsidR="007F23BC" w:rsidRPr="001515B5" w:rsidRDefault="007F23BC" w:rsidP="009D0600">
            <w:pPr>
              <w:suppressAutoHyphens/>
              <w:spacing w:after="0" w:line="276" w:lineRule="auto"/>
              <w:rPr>
                <w:color w:val="20231E"/>
                <w:lang w:eastAsia="en-US"/>
              </w:rPr>
            </w:pPr>
          </w:p>
        </w:tc>
      </w:tr>
      <w:tr w:rsidR="007F23BC" w:rsidRPr="001515B5" w:rsidTr="009D0600">
        <w:trPr>
          <w:trHeight w:val="794"/>
        </w:trPr>
        <w:tc>
          <w:tcPr>
            <w:tcW w:w="3753" w:type="dxa"/>
          </w:tcPr>
          <w:p w:rsidR="007F23BC" w:rsidRPr="001515B5" w:rsidRDefault="007F23BC" w:rsidP="009D0600">
            <w:pPr>
              <w:suppressAutoHyphens/>
              <w:spacing w:after="0" w:line="276" w:lineRule="auto"/>
              <w:ind w:left="31"/>
              <w:rPr>
                <w:color w:val="20231E"/>
                <w:lang w:eastAsia="en-US"/>
              </w:rPr>
            </w:pPr>
          </w:p>
        </w:tc>
        <w:tc>
          <w:tcPr>
            <w:tcW w:w="2186" w:type="dxa"/>
            <w:vAlign w:val="center"/>
          </w:tcPr>
          <w:p w:rsidR="007F23BC" w:rsidRPr="001515B5" w:rsidRDefault="007F23BC" w:rsidP="009D0600">
            <w:pPr>
              <w:suppressAutoHyphens/>
              <w:spacing w:after="0" w:line="276" w:lineRule="auto"/>
              <w:ind w:left="-11"/>
              <w:jc w:val="center"/>
              <w:rPr>
                <w:color w:val="20231E"/>
                <w:lang w:eastAsia="en-US"/>
              </w:rPr>
            </w:pPr>
          </w:p>
        </w:tc>
        <w:tc>
          <w:tcPr>
            <w:tcW w:w="3815" w:type="dxa"/>
          </w:tcPr>
          <w:p w:rsidR="007F23BC" w:rsidRPr="001515B5" w:rsidRDefault="007F23BC" w:rsidP="009D0600">
            <w:pPr>
              <w:suppressAutoHyphens/>
              <w:spacing w:after="0" w:line="276" w:lineRule="auto"/>
              <w:rPr>
                <w:color w:val="20231E"/>
                <w:lang w:eastAsia="en-US"/>
              </w:rPr>
            </w:pPr>
          </w:p>
        </w:tc>
      </w:tr>
      <w:tr w:rsidR="007F23BC" w:rsidRPr="001515B5" w:rsidTr="009D0600">
        <w:trPr>
          <w:trHeight w:val="809"/>
        </w:trPr>
        <w:tc>
          <w:tcPr>
            <w:tcW w:w="3753" w:type="dxa"/>
          </w:tcPr>
          <w:p w:rsidR="007F23BC" w:rsidRPr="001515B5" w:rsidRDefault="007F23BC" w:rsidP="009D0600">
            <w:pPr>
              <w:suppressAutoHyphens/>
              <w:spacing w:after="0" w:line="276" w:lineRule="auto"/>
              <w:ind w:left="31"/>
              <w:rPr>
                <w:color w:val="20231E"/>
                <w:lang w:eastAsia="en-US"/>
              </w:rPr>
            </w:pPr>
          </w:p>
        </w:tc>
        <w:tc>
          <w:tcPr>
            <w:tcW w:w="2186" w:type="dxa"/>
            <w:vAlign w:val="center"/>
          </w:tcPr>
          <w:p w:rsidR="007F23BC" w:rsidRPr="001515B5" w:rsidRDefault="007F23BC" w:rsidP="009D0600">
            <w:pPr>
              <w:suppressAutoHyphens/>
              <w:spacing w:after="0" w:line="276" w:lineRule="auto"/>
              <w:ind w:left="-11"/>
              <w:jc w:val="center"/>
              <w:rPr>
                <w:color w:val="20231E"/>
                <w:lang w:eastAsia="en-US"/>
              </w:rPr>
            </w:pPr>
          </w:p>
        </w:tc>
        <w:tc>
          <w:tcPr>
            <w:tcW w:w="3815" w:type="dxa"/>
          </w:tcPr>
          <w:p w:rsidR="007F23BC" w:rsidRPr="001515B5" w:rsidRDefault="007F23BC" w:rsidP="009D0600">
            <w:pPr>
              <w:suppressAutoHyphens/>
              <w:spacing w:after="0" w:line="276" w:lineRule="auto"/>
              <w:rPr>
                <w:color w:val="20231E"/>
                <w:lang w:eastAsia="en-US"/>
              </w:rPr>
            </w:pPr>
          </w:p>
        </w:tc>
      </w:tr>
      <w:tr w:rsidR="007F23BC" w:rsidRPr="001515B5" w:rsidTr="009D0600">
        <w:trPr>
          <w:trHeight w:val="809"/>
        </w:trPr>
        <w:tc>
          <w:tcPr>
            <w:tcW w:w="3753" w:type="dxa"/>
          </w:tcPr>
          <w:p w:rsidR="007F23BC" w:rsidRPr="001515B5" w:rsidRDefault="007F23BC" w:rsidP="009D0600">
            <w:pPr>
              <w:suppressAutoHyphens/>
              <w:spacing w:after="0" w:line="276" w:lineRule="auto"/>
              <w:ind w:left="31"/>
              <w:rPr>
                <w:color w:val="20231E"/>
                <w:lang w:eastAsia="en-US"/>
              </w:rPr>
            </w:pPr>
          </w:p>
        </w:tc>
        <w:tc>
          <w:tcPr>
            <w:tcW w:w="2186" w:type="dxa"/>
            <w:vAlign w:val="center"/>
          </w:tcPr>
          <w:p w:rsidR="007F23BC" w:rsidRPr="001515B5" w:rsidRDefault="007F23BC" w:rsidP="009D0600">
            <w:pPr>
              <w:suppressAutoHyphens/>
              <w:spacing w:after="0" w:line="276" w:lineRule="auto"/>
              <w:ind w:left="-11"/>
              <w:jc w:val="center"/>
              <w:rPr>
                <w:color w:val="20231E"/>
                <w:lang w:eastAsia="en-US"/>
              </w:rPr>
            </w:pPr>
          </w:p>
        </w:tc>
        <w:tc>
          <w:tcPr>
            <w:tcW w:w="3815" w:type="dxa"/>
          </w:tcPr>
          <w:p w:rsidR="007F23BC" w:rsidRPr="001515B5" w:rsidRDefault="007F23BC" w:rsidP="009D0600">
            <w:pPr>
              <w:suppressAutoHyphens/>
              <w:spacing w:after="0" w:line="276" w:lineRule="auto"/>
              <w:rPr>
                <w:color w:val="20231E"/>
                <w:lang w:eastAsia="en-US"/>
              </w:rPr>
            </w:pPr>
          </w:p>
        </w:tc>
      </w:tr>
    </w:tbl>
    <w:p w:rsidR="007F23BC" w:rsidRPr="001515B5" w:rsidRDefault="007F23BC" w:rsidP="007F23BC">
      <w:pPr>
        <w:suppressAutoHyphens/>
        <w:spacing w:after="0" w:line="240" w:lineRule="auto"/>
        <w:rPr>
          <w:lang w:eastAsia="ar-SA"/>
        </w:rPr>
      </w:pPr>
    </w:p>
    <w:p w:rsidR="007F23BC" w:rsidRPr="001515B5" w:rsidRDefault="007F23BC" w:rsidP="007F23BC">
      <w:pPr>
        <w:autoSpaceDE w:val="0"/>
        <w:autoSpaceDN w:val="0"/>
        <w:adjustRightInd w:val="0"/>
        <w:spacing w:after="0" w:line="240" w:lineRule="exact"/>
        <w:rPr>
          <w:rFonts w:eastAsiaTheme="minorEastAsia"/>
          <w:bCs/>
        </w:rPr>
      </w:pPr>
    </w:p>
    <w:p w:rsidR="007F23BC" w:rsidRPr="001515B5" w:rsidRDefault="007F23BC" w:rsidP="007F23BC">
      <w:pPr>
        <w:autoSpaceDE w:val="0"/>
        <w:autoSpaceDN w:val="0"/>
        <w:adjustRightInd w:val="0"/>
        <w:spacing w:after="0" w:line="240" w:lineRule="exact"/>
        <w:jc w:val="right"/>
        <w:rPr>
          <w:rFonts w:eastAsiaTheme="minorEastAsia"/>
          <w:bCs/>
        </w:rPr>
      </w:pPr>
    </w:p>
    <w:p w:rsidR="007F23BC" w:rsidRPr="001515B5" w:rsidRDefault="007F23BC" w:rsidP="007F23BC">
      <w:pPr>
        <w:autoSpaceDE w:val="0"/>
        <w:autoSpaceDN w:val="0"/>
        <w:adjustRightInd w:val="0"/>
        <w:spacing w:after="0" w:line="240" w:lineRule="exact"/>
        <w:jc w:val="right"/>
        <w:rPr>
          <w:rFonts w:eastAsiaTheme="minorEastAsia"/>
          <w:bCs/>
        </w:rPr>
      </w:pPr>
    </w:p>
    <w:p w:rsidR="007F23BC" w:rsidRPr="001515B5" w:rsidRDefault="007F23BC" w:rsidP="007F23BC">
      <w:pPr>
        <w:tabs>
          <w:tab w:val="left" w:pos="4111"/>
        </w:tabs>
        <w:suppressAutoHyphens/>
        <w:spacing w:after="0" w:line="240" w:lineRule="auto"/>
        <w:rPr>
          <w:lang w:eastAsia="cs-CZ"/>
        </w:rPr>
      </w:pPr>
    </w:p>
    <w:p w:rsidR="007F23BC" w:rsidRPr="001515B5" w:rsidRDefault="007F23BC" w:rsidP="007F23BC">
      <w:pPr>
        <w:tabs>
          <w:tab w:val="left" w:pos="4111"/>
        </w:tabs>
        <w:suppressAutoHyphens/>
        <w:spacing w:after="0" w:line="240" w:lineRule="auto"/>
        <w:rPr>
          <w:lang w:eastAsia="cs-CZ"/>
        </w:rPr>
      </w:pPr>
      <w:r w:rsidRPr="001515B5">
        <w:rPr>
          <w:lang w:eastAsia="cs-CZ"/>
        </w:rPr>
        <w:t>V ...................... dňa.............................</w:t>
      </w:r>
      <w:r w:rsidRPr="001515B5">
        <w:rPr>
          <w:lang w:eastAsia="cs-CZ"/>
        </w:rPr>
        <w:tab/>
      </w:r>
      <w:r w:rsidRPr="001515B5">
        <w:rPr>
          <w:lang w:eastAsia="cs-CZ"/>
        </w:rPr>
        <w:tab/>
      </w:r>
      <w:r w:rsidRPr="001515B5">
        <w:rPr>
          <w:lang w:eastAsia="cs-CZ"/>
        </w:rPr>
        <w:tab/>
        <w:t>V Košiciach dňa ............................</w:t>
      </w:r>
    </w:p>
    <w:p w:rsidR="007F23BC" w:rsidRPr="001515B5" w:rsidRDefault="007F23BC" w:rsidP="007F23BC">
      <w:pPr>
        <w:tabs>
          <w:tab w:val="left" w:pos="4962"/>
        </w:tabs>
        <w:suppressAutoHyphens/>
        <w:spacing w:after="0" w:line="240" w:lineRule="auto"/>
        <w:rPr>
          <w:lang w:eastAsia="ar-SA"/>
        </w:rPr>
      </w:pPr>
    </w:p>
    <w:p w:rsidR="007F23BC" w:rsidRPr="001515B5" w:rsidRDefault="007F23BC" w:rsidP="007F23BC">
      <w:pPr>
        <w:tabs>
          <w:tab w:val="left" w:pos="4962"/>
        </w:tabs>
        <w:suppressAutoHyphens/>
        <w:spacing w:after="0" w:line="240" w:lineRule="auto"/>
        <w:rPr>
          <w:b/>
          <w:bCs/>
          <w:lang w:eastAsia="cs-CZ"/>
        </w:rPr>
      </w:pPr>
    </w:p>
    <w:p w:rsidR="007F23BC" w:rsidRPr="001515B5" w:rsidRDefault="007F23BC" w:rsidP="007F23BC">
      <w:pPr>
        <w:tabs>
          <w:tab w:val="left" w:pos="4962"/>
        </w:tabs>
        <w:suppressAutoHyphens/>
        <w:spacing w:after="0" w:line="240" w:lineRule="auto"/>
        <w:rPr>
          <w:b/>
          <w:bCs/>
          <w:lang w:eastAsia="cs-CZ"/>
        </w:rPr>
      </w:pPr>
      <w:r w:rsidRPr="001515B5">
        <w:rPr>
          <w:b/>
          <w:bCs/>
          <w:lang w:eastAsia="cs-CZ"/>
        </w:rPr>
        <w:t xml:space="preserve">Za </w:t>
      </w:r>
      <w:r>
        <w:rPr>
          <w:b/>
          <w:bCs/>
          <w:lang w:eastAsia="cs-CZ"/>
        </w:rPr>
        <w:t>poskytovateľa</w:t>
      </w:r>
      <w:r w:rsidRPr="001515B5">
        <w:rPr>
          <w:b/>
          <w:bCs/>
          <w:lang w:eastAsia="cs-CZ"/>
        </w:rPr>
        <w:t>:</w:t>
      </w:r>
      <w:r w:rsidRPr="001515B5">
        <w:rPr>
          <w:b/>
          <w:bCs/>
          <w:lang w:eastAsia="cs-CZ"/>
        </w:rPr>
        <w:tab/>
        <w:t>Za objednávateľa:</w:t>
      </w:r>
    </w:p>
    <w:p w:rsidR="007F23BC" w:rsidRPr="001515B5" w:rsidRDefault="007F23BC" w:rsidP="007F23BC">
      <w:pPr>
        <w:tabs>
          <w:tab w:val="num" w:pos="426"/>
        </w:tabs>
        <w:suppressAutoHyphens/>
        <w:spacing w:after="0" w:line="240" w:lineRule="auto"/>
        <w:ind w:left="284"/>
        <w:textAlignment w:val="baseline"/>
        <w:rPr>
          <w:lang w:eastAsia="ar-SA"/>
        </w:rPr>
      </w:pPr>
    </w:p>
    <w:p w:rsidR="007F23BC" w:rsidRPr="001515B5" w:rsidRDefault="007F23BC" w:rsidP="007F23BC">
      <w:pPr>
        <w:tabs>
          <w:tab w:val="num" w:pos="426"/>
        </w:tabs>
        <w:suppressAutoHyphens/>
        <w:spacing w:after="0" w:line="240" w:lineRule="auto"/>
        <w:ind w:left="284"/>
        <w:textAlignment w:val="baseline"/>
        <w:rPr>
          <w:lang w:eastAsia="ar-SA"/>
        </w:rPr>
      </w:pPr>
    </w:p>
    <w:p w:rsidR="007F23BC" w:rsidRPr="001515B5" w:rsidRDefault="007F23BC" w:rsidP="007F23BC">
      <w:pPr>
        <w:suppressAutoHyphens/>
        <w:spacing w:after="0" w:line="240" w:lineRule="auto"/>
        <w:rPr>
          <w:lang w:eastAsia="cs-CZ"/>
        </w:rPr>
      </w:pPr>
    </w:p>
    <w:p w:rsidR="007F23BC" w:rsidRPr="001515B5" w:rsidRDefault="007F23BC" w:rsidP="007F23BC">
      <w:pPr>
        <w:suppressAutoHyphens/>
        <w:spacing w:after="0" w:line="240" w:lineRule="auto"/>
        <w:rPr>
          <w:lang w:eastAsia="ar-SA"/>
        </w:rPr>
      </w:pPr>
      <w:r w:rsidRPr="001515B5">
        <w:rPr>
          <w:lang w:eastAsia="ar-SA"/>
        </w:rPr>
        <w:t>......................................................................</w:t>
      </w:r>
      <w:r w:rsidRPr="001515B5">
        <w:rPr>
          <w:lang w:eastAsia="ar-SA"/>
        </w:rPr>
        <w:tab/>
      </w:r>
      <w:r>
        <w:rPr>
          <w:lang w:eastAsia="ar-SA"/>
        </w:rPr>
        <w:tab/>
      </w:r>
      <w:r w:rsidRPr="001515B5">
        <w:rPr>
          <w:lang w:eastAsia="ar-SA"/>
        </w:rPr>
        <w:t>...............................................................</w:t>
      </w:r>
    </w:p>
    <w:p w:rsidR="007F23BC" w:rsidRPr="001515B5" w:rsidRDefault="007F23BC" w:rsidP="007F23BC">
      <w:pPr>
        <w:suppressAutoHyphens/>
        <w:spacing w:after="0" w:line="240" w:lineRule="auto"/>
        <w:rPr>
          <w:highlight w:val="yellow"/>
          <w:lang w:eastAsia="ar-SA"/>
        </w:rPr>
      </w:pPr>
      <w:r w:rsidRPr="001515B5">
        <w:rPr>
          <w:i/>
          <w:iCs/>
          <w:lang w:eastAsia="cs-CZ"/>
        </w:rPr>
        <w:t>meno, priezvisko, titul, funkcia</w:t>
      </w:r>
      <w:r w:rsidRPr="001515B5">
        <w:rPr>
          <w:lang w:eastAsia="ar-SA"/>
        </w:rPr>
        <w:tab/>
      </w:r>
      <w:r w:rsidRPr="001515B5">
        <w:rPr>
          <w:lang w:eastAsia="ar-SA"/>
        </w:rPr>
        <w:tab/>
      </w:r>
      <w:r w:rsidRPr="001515B5">
        <w:rPr>
          <w:lang w:eastAsia="ar-SA"/>
        </w:rPr>
        <w:tab/>
        <w:t xml:space="preserve">        </w:t>
      </w:r>
      <w:r>
        <w:rPr>
          <w:lang w:eastAsia="ar-SA"/>
        </w:rPr>
        <w:tab/>
      </w:r>
      <w:r>
        <w:rPr>
          <w:lang w:eastAsia="ar-SA"/>
        </w:rPr>
        <w:tab/>
      </w:r>
      <w:r w:rsidRPr="001515B5">
        <w:rPr>
          <w:lang w:eastAsia="ar-SA"/>
        </w:rPr>
        <w:t xml:space="preserve">prof. RNDr. Pavol </w:t>
      </w:r>
      <w:proofErr w:type="spellStart"/>
      <w:r w:rsidRPr="001515B5">
        <w:rPr>
          <w:lang w:eastAsia="ar-SA"/>
        </w:rPr>
        <w:t>Sovák</w:t>
      </w:r>
      <w:proofErr w:type="spellEnd"/>
      <w:r w:rsidRPr="001515B5">
        <w:rPr>
          <w:lang w:eastAsia="ar-SA"/>
        </w:rPr>
        <w:t>, CSc.</w:t>
      </w:r>
    </w:p>
    <w:p w:rsidR="007F23BC" w:rsidRPr="001515B5" w:rsidRDefault="007F23BC" w:rsidP="007F23BC">
      <w:pPr>
        <w:suppressAutoHyphens/>
        <w:spacing w:after="0" w:line="240" w:lineRule="auto"/>
        <w:rPr>
          <w:lang w:eastAsia="ar-SA"/>
        </w:rPr>
      </w:pPr>
      <w:r w:rsidRPr="001515B5">
        <w:rPr>
          <w:i/>
          <w:iCs/>
          <w:lang w:eastAsia="cs-CZ"/>
        </w:rPr>
        <w:t>podpis oprávnenej osoby(osôb) zhotoviteľa</w:t>
      </w:r>
      <w:r w:rsidRPr="001515B5">
        <w:rPr>
          <w:i/>
          <w:lang w:eastAsia="cs-CZ"/>
        </w:rPr>
        <w:tab/>
      </w:r>
      <w:r w:rsidRPr="001515B5">
        <w:rPr>
          <w:lang w:eastAsia="ar-SA"/>
        </w:rPr>
        <w:t xml:space="preserve">                                   </w:t>
      </w:r>
      <w:r>
        <w:rPr>
          <w:lang w:eastAsia="ar-SA"/>
        </w:rPr>
        <w:t xml:space="preserve">            </w:t>
      </w:r>
      <w:r w:rsidRPr="001515B5">
        <w:rPr>
          <w:lang w:eastAsia="ar-SA"/>
        </w:rPr>
        <w:t xml:space="preserve"> rektor</w:t>
      </w:r>
    </w:p>
    <w:p w:rsidR="007F23BC" w:rsidRPr="001515B5" w:rsidRDefault="007F23BC" w:rsidP="007F23BC">
      <w:pPr>
        <w:autoSpaceDE w:val="0"/>
        <w:autoSpaceDN w:val="0"/>
        <w:adjustRightInd w:val="0"/>
        <w:spacing w:after="0" w:line="240" w:lineRule="exact"/>
        <w:rPr>
          <w:rFonts w:eastAsiaTheme="minorEastAsia"/>
          <w:bCs/>
        </w:rPr>
      </w:pPr>
    </w:p>
    <w:p w:rsidR="007F23BC" w:rsidRPr="001515B5" w:rsidRDefault="007F23BC" w:rsidP="007F23BC">
      <w:pPr>
        <w:autoSpaceDE w:val="0"/>
        <w:autoSpaceDN w:val="0"/>
        <w:adjustRightInd w:val="0"/>
        <w:spacing w:after="0" w:line="240" w:lineRule="exact"/>
        <w:jc w:val="right"/>
        <w:rPr>
          <w:rFonts w:eastAsiaTheme="minorEastAsia"/>
          <w:bCs/>
        </w:rPr>
      </w:pPr>
    </w:p>
    <w:p w:rsidR="007F23BC" w:rsidRPr="001515B5" w:rsidRDefault="007F23BC" w:rsidP="007F23BC">
      <w:pPr>
        <w:spacing w:line="259" w:lineRule="auto"/>
        <w:rPr>
          <w:lang w:eastAsia="ar-SA"/>
        </w:rPr>
      </w:pPr>
    </w:p>
    <w:p w:rsidR="007F23BC" w:rsidRDefault="007F23BC" w:rsidP="007F23BC"/>
    <w:p w:rsidR="007F23BC" w:rsidRDefault="007F23BC" w:rsidP="007F23BC">
      <w:pPr>
        <w:ind w:left="6367" w:firstLine="713"/>
      </w:pPr>
    </w:p>
    <w:p w:rsidR="007F23BC" w:rsidRDefault="007F23BC" w:rsidP="007F23BC">
      <w:pPr>
        <w:ind w:left="6367" w:firstLine="713"/>
      </w:pPr>
    </w:p>
    <w:p w:rsidR="007F23BC" w:rsidRDefault="007F23BC" w:rsidP="007F23BC">
      <w:pPr>
        <w:ind w:left="6367" w:firstLine="713"/>
      </w:pPr>
    </w:p>
    <w:p w:rsidR="007F23BC" w:rsidRDefault="007F23BC" w:rsidP="007F23BC">
      <w:pPr>
        <w:ind w:left="6367" w:firstLine="713"/>
      </w:pPr>
    </w:p>
    <w:p w:rsidR="007F23BC" w:rsidRDefault="007F23BC" w:rsidP="007F23BC">
      <w:pPr>
        <w:ind w:left="6367" w:firstLine="713"/>
      </w:pPr>
    </w:p>
    <w:p w:rsidR="007F23BC" w:rsidRDefault="007F23BC" w:rsidP="007F23BC">
      <w:pPr>
        <w:ind w:left="6367" w:firstLine="713"/>
      </w:pPr>
    </w:p>
    <w:p w:rsidR="007F23BC" w:rsidRDefault="007F23BC" w:rsidP="007F23BC"/>
    <w:p w:rsidR="007F23BC" w:rsidRDefault="007F23BC" w:rsidP="007F23BC">
      <w:pPr>
        <w:ind w:left="0" w:firstLine="0"/>
        <w:sectPr w:rsidR="007F23BC" w:rsidSect="00145F68">
          <w:footerReference w:type="even" r:id="rId8"/>
          <w:footerReference w:type="default" r:id="rId9"/>
          <w:footerReference w:type="first" r:id="rId10"/>
          <w:pgSz w:w="11906" w:h="16838"/>
          <w:pgMar w:top="435" w:right="1414" w:bottom="1334" w:left="1419" w:header="708" w:footer="725" w:gutter="0"/>
          <w:cols w:space="708"/>
          <w:docGrid w:linePitch="272"/>
        </w:sectPr>
      </w:pPr>
    </w:p>
    <w:p w:rsidR="007F23BC" w:rsidRDefault="007F23BC" w:rsidP="004258EA">
      <w:pPr>
        <w:ind w:left="0" w:firstLine="0"/>
        <w:sectPr w:rsidR="007F23BC" w:rsidSect="00145F68">
          <w:footerReference w:type="even" r:id="rId11"/>
          <w:footerReference w:type="default" r:id="rId12"/>
          <w:footerReference w:type="first" r:id="rId13"/>
          <w:pgSz w:w="11906" w:h="16838"/>
          <w:pgMar w:top="435" w:right="1414" w:bottom="1334" w:left="1419" w:header="708" w:footer="725" w:gutter="0"/>
          <w:cols w:space="708"/>
          <w:docGrid w:linePitch="272"/>
        </w:sectPr>
      </w:pPr>
    </w:p>
    <w:p w:rsidR="001B5A63" w:rsidRDefault="001B5A63" w:rsidP="00145F68">
      <w:pPr>
        <w:spacing w:after="226" w:line="259" w:lineRule="auto"/>
        <w:ind w:left="0" w:firstLine="0"/>
        <w:jc w:val="left"/>
      </w:pPr>
    </w:p>
    <w:sectPr w:rsidR="001B5A63" w:rsidSect="004258EA">
      <w:footerReference w:type="even" r:id="rId14"/>
      <w:footerReference w:type="default" r:id="rId15"/>
      <w:footerReference w:type="first" r:id="rId16"/>
      <w:pgSz w:w="11906" w:h="16838"/>
      <w:pgMar w:top="6645" w:right="1394" w:bottom="2648" w:left="519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F0D" w:rsidRDefault="00E64F0D">
      <w:pPr>
        <w:spacing w:after="0" w:line="240" w:lineRule="auto"/>
      </w:pPr>
      <w:r>
        <w:separator/>
      </w:r>
    </w:p>
  </w:endnote>
  <w:endnote w:type="continuationSeparator" w:id="0">
    <w:p w:rsidR="00E64F0D" w:rsidRDefault="00E6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BC" w:rsidRDefault="007F23BC">
    <w:pPr>
      <w:spacing w:after="0" w:line="259" w:lineRule="auto"/>
      <w:ind w:left="0" w:right="7" w:firstLine="0"/>
      <w:jc w:val="center"/>
    </w:pPr>
    <w:r>
      <w:rPr>
        <w:rFonts w:ascii="Times New Roman" w:eastAsia="Times New Roman" w:hAnsi="Times New Roman" w:cs="Times New Roman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145F68">
      <w:rPr>
        <w:rFonts w:ascii="Times New Roman" w:eastAsia="Times New Roman" w:hAnsi="Times New Roman" w:cs="Times New Roman"/>
        <w:b/>
        <w:noProof/>
      </w:rPr>
      <w:t>4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</w:rPr>
      <w:t xml:space="preserve"> z </w:t>
    </w:r>
    <w:r>
      <w:rPr>
        <w:rFonts w:ascii="Times New Roman" w:eastAsia="Times New Roman" w:hAnsi="Times New Roman" w:cs="Times New Roman"/>
        <w:b/>
      </w:rPr>
      <w:t>4</w:t>
    </w:r>
    <w:r>
      <w:rPr>
        <w:rFonts w:ascii="Times New Roman" w:eastAsia="Times New Roman" w:hAnsi="Times New Roman" w:cs="Times New Roman"/>
      </w:rPr>
      <w:t xml:space="preserve"> </w:t>
    </w:r>
  </w:p>
  <w:p w:rsidR="007F23BC" w:rsidRDefault="007F23B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294979"/>
      <w:docPartObj>
        <w:docPartGallery w:val="Page Numbers (Bottom of Page)"/>
        <w:docPartUnique/>
      </w:docPartObj>
    </w:sdtPr>
    <w:sdtContent>
      <w:p w:rsidR="007F23BC" w:rsidRDefault="007F23B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7F23BC" w:rsidRDefault="007F23BC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015668"/>
      <w:docPartObj>
        <w:docPartGallery w:val="Page Numbers (Bottom of Page)"/>
        <w:docPartUnique/>
      </w:docPartObj>
    </w:sdtPr>
    <w:sdtContent>
      <w:p w:rsidR="007F23BC" w:rsidRDefault="007F23B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F23BC" w:rsidRDefault="007F23BC">
    <w:pPr>
      <w:spacing w:after="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A2" w:rsidRDefault="00EC14A2">
    <w:pPr>
      <w:spacing w:after="0" w:line="259" w:lineRule="auto"/>
      <w:ind w:left="0" w:right="7" w:firstLine="0"/>
      <w:jc w:val="center"/>
    </w:pPr>
    <w:r>
      <w:rPr>
        <w:rFonts w:ascii="Times New Roman" w:eastAsia="Times New Roman" w:hAnsi="Times New Roman" w:cs="Times New Roman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145F68" w:rsidRPr="00145F68">
      <w:rPr>
        <w:rFonts w:ascii="Times New Roman" w:eastAsia="Times New Roman" w:hAnsi="Times New Roman" w:cs="Times New Roman"/>
        <w:b/>
        <w:noProof/>
      </w:rPr>
      <w:t>4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</w:rPr>
      <w:t xml:space="preserve"> z </w:t>
    </w:r>
    <w:r>
      <w:rPr>
        <w:rFonts w:ascii="Times New Roman" w:eastAsia="Times New Roman" w:hAnsi="Times New Roman" w:cs="Times New Roman"/>
        <w:b/>
      </w:rPr>
      <w:t>4</w:t>
    </w:r>
    <w:r>
      <w:rPr>
        <w:rFonts w:ascii="Times New Roman" w:eastAsia="Times New Roman" w:hAnsi="Times New Roman" w:cs="Times New Roman"/>
      </w:rPr>
      <w:t xml:space="preserve"> </w:t>
    </w:r>
  </w:p>
  <w:p w:rsidR="00EC14A2" w:rsidRDefault="00EC14A2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283014"/>
      <w:docPartObj>
        <w:docPartGallery w:val="Page Numbers (Bottom of Page)"/>
        <w:docPartUnique/>
      </w:docPartObj>
    </w:sdtPr>
    <w:sdtEndPr/>
    <w:sdtContent>
      <w:p w:rsidR="00145F68" w:rsidRDefault="00145F6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3BC">
          <w:rPr>
            <w:noProof/>
          </w:rPr>
          <w:t>7</w:t>
        </w:r>
        <w:r>
          <w:fldChar w:fldCharType="end"/>
        </w:r>
      </w:p>
    </w:sdtContent>
  </w:sdt>
  <w:p w:rsidR="00EC14A2" w:rsidRDefault="00EC14A2">
    <w:pPr>
      <w:spacing w:after="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72334"/>
      <w:docPartObj>
        <w:docPartGallery w:val="Page Numbers (Bottom of Page)"/>
        <w:docPartUnique/>
      </w:docPartObj>
    </w:sdtPr>
    <w:sdtEndPr/>
    <w:sdtContent>
      <w:p w:rsidR="00145F68" w:rsidRDefault="00145F6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14A2" w:rsidRDefault="00EC14A2">
    <w:pPr>
      <w:spacing w:after="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A2" w:rsidRDefault="00EC14A2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A2" w:rsidRDefault="00EC14A2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A2" w:rsidRDefault="00EC14A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F0D" w:rsidRDefault="00E64F0D">
      <w:pPr>
        <w:spacing w:after="0" w:line="240" w:lineRule="auto"/>
      </w:pPr>
      <w:r>
        <w:separator/>
      </w:r>
    </w:p>
  </w:footnote>
  <w:footnote w:type="continuationSeparator" w:id="0">
    <w:p w:rsidR="00E64F0D" w:rsidRDefault="00E64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0FB"/>
    <w:multiLevelType w:val="hybridMultilevel"/>
    <w:tmpl w:val="26ACE704"/>
    <w:lvl w:ilvl="0" w:tplc="29587826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F0E1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E6C9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2CFD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EE6C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32A6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80D4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F0B1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43D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8E1137"/>
    <w:multiLevelType w:val="hybridMultilevel"/>
    <w:tmpl w:val="3CF85F66"/>
    <w:lvl w:ilvl="0" w:tplc="608AE61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CC6FEE">
      <w:start w:val="1"/>
      <w:numFmt w:val="lowerLetter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B8E9A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568D5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243DD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06DCF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9AE08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B8930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88448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7E0F24"/>
    <w:multiLevelType w:val="hybridMultilevel"/>
    <w:tmpl w:val="F0348D3A"/>
    <w:lvl w:ilvl="0" w:tplc="577A545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A27574">
      <w:start w:val="1"/>
      <w:numFmt w:val="lowerLetter"/>
      <w:lvlText w:val="%2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2EF688">
      <w:start w:val="1"/>
      <w:numFmt w:val="lowerLetter"/>
      <w:lvlRestart w:val="0"/>
      <w:lvlText w:val="%3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30A1C4">
      <w:start w:val="1"/>
      <w:numFmt w:val="decimal"/>
      <w:lvlText w:val="%4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D06C78">
      <w:start w:val="1"/>
      <w:numFmt w:val="lowerLetter"/>
      <w:lvlText w:val="%5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3E19EE">
      <w:start w:val="1"/>
      <w:numFmt w:val="lowerRoman"/>
      <w:lvlText w:val="%6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10662C">
      <w:start w:val="1"/>
      <w:numFmt w:val="decimal"/>
      <w:lvlText w:val="%7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FEFB40">
      <w:start w:val="1"/>
      <w:numFmt w:val="lowerLetter"/>
      <w:lvlText w:val="%8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F8FE0C">
      <w:start w:val="1"/>
      <w:numFmt w:val="lowerRoman"/>
      <w:lvlText w:val="%9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CD4344"/>
    <w:multiLevelType w:val="hybridMultilevel"/>
    <w:tmpl w:val="AA5ABD6C"/>
    <w:lvl w:ilvl="0" w:tplc="6AE43D5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2AA506">
      <w:start w:val="1"/>
      <w:numFmt w:val="lowerLetter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68056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369E1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7AA1E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F68DC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C68F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ACFC5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BC44D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B12103"/>
    <w:multiLevelType w:val="hybridMultilevel"/>
    <w:tmpl w:val="3E3E6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871F5"/>
    <w:multiLevelType w:val="hybridMultilevel"/>
    <w:tmpl w:val="2FC29944"/>
    <w:lvl w:ilvl="0" w:tplc="68DC1896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80B0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1023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EE26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BA86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2E13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F25B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EE89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AE05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0E1F1A"/>
    <w:multiLevelType w:val="hybridMultilevel"/>
    <w:tmpl w:val="D51AF0D4"/>
    <w:lvl w:ilvl="0" w:tplc="8AB00E3E">
      <w:start w:val="1"/>
      <w:numFmt w:val="decimal"/>
      <w:lvlText w:val="%1."/>
      <w:lvlJc w:val="left"/>
      <w:pPr>
        <w:ind w:left="1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9C3E6E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193A04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D08EC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D4A6F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2549C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7628D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37629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F2E59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2D2945"/>
    <w:multiLevelType w:val="hybridMultilevel"/>
    <w:tmpl w:val="FC2E39C4"/>
    <w:lvl w:ilvl="0" w:tplc="7E38BE4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0A5E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C2C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40F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EA35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9A51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D49D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FA32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4843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A825A0"/>
    <w:multiLevelType w:val="hybridMultilevel"/>
    <w:tmpl w:val="37F630BE"/>
    <w:lvl w:ilvl="0" w:tplc="68D8971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0483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B2C2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068A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9EED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6485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CE87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E81E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5C7D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EC2607"/>
    <w:multiLevelType w:val="hybridMultilevel"/>
    <w:tmpl w:val="E120092C"/>
    <w:lvl w:ilvl="0" w:tplc="0000000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618B8"/>
    <w:multiLevelType w:val="hybridMultilevel"/>
    <w:tmpl w:val="16AC4134"/>
    <w:lvl w:ilvl="0" w:tplc="BF50E9E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63"/>
    <w:rsid w:val="00040C6E"/>
    <w:rsid w:val="00060170"/>
    <w:rsid w:val="000E6C41"/>
    <w:rsid w:val="00145F68"/>
    <w:rsid w:val="001500B4"/>
    <w:rsid w:val="00150AB1"/>
    <w:rsid w:val="001713AD"/>
    <w:rsid w:val="001B5A63"/>
    <w:rsid w:val="00244DA1"/>
    <w:rsid w:val="0034340D"/>
    <w:rsid w:val="00370602"/>
    <w:rsid w:val="00386594"/>
    <w:rsid w:val="00412654"/>
    <w:rsid w:val="004258EA"/>
    <w:rsid w:val="004A17F6"/>
    <w:rsid w:val="004E3740"/>
    <w:rsid w:val="004E6C0F"/>
    <w:rsid w:val="005128D6"/>
    <w:rsid w:val="005B14A5"/>
    <w:rsid w:val="005F78EF"/>
    <w:rsid w:val="006212B4"/>
    <w:rsid w:val="00623DB5"/>
    <w:rsid w:val="00660E33"/>
    <w:rsid w:val="006A4AA0"/>
    <w:rsid w:val="006A5D54"/>
    <w:rsid w:val="006E7B4B"/>
    <w:rsid w:val="00707F88"/>
    <w:rsid w:val="00736450"/>
    <w:rsid w:val="007D0314"/>
    <w:rsid w:val="007F23BC"/>
    <w:rsid w:val="008A0D29"/>
    <w:rsid w:val="009379AC"/>
    <w:rsid w:val="00970A88"/>
    <w:rsid w:val="009F1353"/>
    <w:rsid w:val="00A11A14"/>
    <w:rsid w:val="00A54363"/>
    <w:rsid w:val="00AA076C"/>
    <w:rsid w:val="00AC43C3"/>
    <w:rsid w:val="00AE313A"/>
    <w:rsid w:val="00AE5F05"/>
    <w:rsid w:val="00B04ECA"/>
    <w:rsid w:val="00C8090D"/>
    <w:rsid w:val="00CA70FA"/>
    <w:rsid w:val="00CA768A"/>
    <w:rsid w:val="00CD0B7A"/>
    <w:rsid w:val="00D37D0B"/>
    <w:rsid w:val="00D4440E"/>
    <w:rsid w:val="00DE4A7B"/>
    <w:rsid w:val="00DE77EC"/>
    <w:rsid w:val="00E64F0D"/>
    <w:rsid w:val="00E710D3"/>
    <w:rsid w:val="00EB109C"/>
    <w:rsid w:val="00EC14A2"/>
    <w:rsid w:val="00F1386F"/>
    <w:rsid w:val="00F614BA"/>
    <w:rsid w:val="00F80003"/>
    <w:rsid w:val="00F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383D7"/>
  <w15:docId w15:val="{0A2CDD4F-4008-4BAE-B76C-2BC216E1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9" w:line="266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5"/>
      <w:ind w:left="87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4E6C0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145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5F68"/>
    <w:rPr>
      <w:rFonts w:ascii="Arial" w:eastAsia="Arial" w:hAnsi="Arial" w:cs="Arial"/>
      <w:color w:val="000000"/>
      <w:sz w:val="20"/>
    </w:rPr>
  </w:style>
  <w:style w:type="paragraph" w:styleId="Pta">
    <w:name w:val="footer"/>
    <w:basedOn w:val="Normlny"/>
    <w:link w:val="PtaChar"/>
    <w:uiPriority w:val="99"/>
    <w:unhideWhenUsed/>
    <w:rsid w:val="00145F6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145F6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1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135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Imreczeová</dc:creator>
  <cp:keywords/>
  <cp:lastModifiedBy>maria.kolvekova</cp:lastModifiedBy>
  <cp:revision>4</cp:revision>
  <dcterms:created xsi:type="dcterms:W3CDTF">2020-07-15T04:05:00Z</dcterms:created>
  <dcterms:modified xsi:type="dcterms:W3CDTF">2020-07-15T05:59:00Z</dcterms:modified>
</cp:coreProperties>
</file>