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2EB21" w14:textId="28B046C9" w:rsidR="004778F7" w:rsidRDefault="005215F4" w:rsidP="004778F7">
      <w:pPr>
        <w:pStyle w:val="Nadpis3"/>
        <w:spacing w:line="360" w:lineRule="auto"/>
        <w:contextualSpacing/>
        <w:jc w:val="center"/>
        <w:rPr>
          <w:rFonts w:cs="Arial"/>
          <w:bCs w:val="0"/>
          <w:iCs/>
          <w:sz w:val="24"/>
          <w:szCs w:val="24"/>
        </w:rPr>
      </w:pPr>
      <w:bookmarkStart w:id="0" w:name="_Toc420851455"/>
      <w:r>
        <w:rPr>
          <w:rFonts w:cs="Arial"/>
          <w:bCs w:val="0"/>
          <w:iCs/>
          <w:sz w:val="24"/>
          <w:szCs w:val="24"/>
        </w:rPr>
        <w:t>Civilné k</w:t>
      </w:r>
      <w:r w:rsidR="004778F7">
        <w:rPr>
          <w:rFonts w:cs="Arial"/>
          <w:bCs w:val="0"/>
          <w:iCs/>
          <w:sz w:val="24"/>
          <w:szCs w:val="24"/>
        </w:rPr>
        <w:t xml:space="preserve">onanie </w:t>
      </w:r>
      <w:r>
        <w:rPr>
          <w:rFonts w:cs="Arial"/>
          <w:bCs w:val="0"/>
          <w:iCs/>
          <w:sz w:val="24"/>
          <w:szCs w:val="24"/>
        </w:rPr>
        <w:t>na nižších súdoch</w:t>
      </w:r>
      <w:bookmarkStart w:id="1" w:name="_GoBack"/>
      <w:bookmarkEnd w:id="1"/>
      <w:r w:rsidR="004778F7" w:rsidRPr="00211576">
        <w:rPr>
          <w:rFonts w:cs="Arial"/>
          <w:bCs w:val="0"/>
          <w:iCs/>
          <w:sz w:val="24"/>
          <w:szCs w:val="24"/>
        </w:rPr>
        <w:t xml:space="preserve"> </w:t>
      </w:r>
      <w:r w:rsidR="004778F7">
        <w:rPr>
          <w:rFonts w:cs="Arial"/>
          <w:bCs w:val="0"/>
          <w:iCs/>
          <w:sz w:val="24"/>
          <w:szCs w:val="24"/>
        </w:rPr>
        <w:t>od 14</w:t>
      </w:r>
      <w:r w:rsidR="004778F7" w:rsidRPr="00211576">
        <w:rPr>
          <w:rFonts w:cs="Arial"/>
          <w:bCs w:val="0"/>
          <w:iCs/>
          <w:sz w:val="24"/>
          <w:szCs w:val="24"/>
        </w:rPr>
        <w:t>.</w:t>
      </w:r>
      <w:r w:rsidR="004778F7">
        <w:rPr>
          <w:rFonts w:cs="Arial"/>
          <w:bCs w:val="0"/>
          <w:iCs/>
          <w:sz w:val="24"/>
          <w:szCs w:val="24"/>
        </w:rPr>
        <w:t xml:space="preserve"> storočia </w:t>
      </w:r>
      <w:bookmarkEnd w:id="0"/>
      <w:r w:rsidR="004778F7">
        <w:rPr>
          <w:rFonts w:cs="Arial"/>
          <w:bCs w:val="0"/>
          <w:iCs/>
          <w:sz w:val="24"/>
          <w:szCs w:val="24"/>
        </w:rPr>
        <w:t>do roku 1848</w:t>
      </w:r>
    </w:p>
    <w:p w14:paraId="20933578" w14:textId="1BAD28FF" w:rsidR="004778F7" w:rsidRPr="00211576" w:rsidRDefault="004778F7" w:rsidP="004778F7">
      <w:pPr>
        <w:jc w:val="center"/>
        <w:rPr>
          <w:rFonts w:ascii="Arial" w:hAnsi="Arial" w:cs="Arial"/>
          <w:b/>
          <w:bCs/>
          <w:sz w:val="24"/>
          <w:szCs w:val="24"/>
          <w:lang w:eastAsia="sk-SK"/>
        </w:rPr>
      </w:pPr>
      <w:r w:rsidRPr="00211576">
        <w:rPr>
          <w:rFonts w:ascii="Arial" w:hAnsi="Arial" w:cs="Arial"/>
          <w:b/>
          <w:bCs/>
          <w:sz w:val="24"/>
          <w:szCs w:val="24"/>
          <w:lang w:eastAsia="sk-SK"/>
        </w:rPr>
        <w:t xml:space="preserve">(prednáška </w:t>
      </w:r>
      <w:r>
        <w:rPr>
          <w:rFonts w:ascii="Arial" w:hAnsi="Arial" w:cs="Arial"/>
          <w:b/>
          <w:bCs/>
          <w:sz w:val="24"/>
          <w:szCs w:val="24"/>
          <w:lang w:eastAsia="sk-SK"/>
        </w:rPr>
        <w:t>31</w:t>
      </w:r>
      <w:r>
        <w:rPr>
          <w:rFonts w:ascii="Arial" w:hAnsi="Arial" w:cs="Arial"/>
          <w:b/>
          <w:bCs/>
          <w:sz w:val="24"/>
          <w:szCs w:val="24"/>
          <w:lang w:eastAsia="sk-SK"/>
        </w:rPr>
        <w:t>. 3. 2020)</w:t>
      </w:r>
    </w:p>
    <w:p w14:paraId="77B30F06" w14:textId="7E670ECC" w:rsidR="00366146" w:rsidRDefault="00366146"/>
    <w:p w14:paraId="38A20DC2" w14:textId="0C2F84C4" w:rsidR="004778F7" w:rsidRPr="004778F7" w:rsidRDefault="004778F7" w:rsidP="004778F7">
      <w:pPr>
        <w:pStyle w:val="Nadpis3"/>
        <w:spacing w:line="360" w:lineRule="auto"/>
        <w:contextualSpacing/>
        <w:rPr>
          <w:rFonts w:cs="Arial"/>
          <w:bCs w:val="0"/>
          <w:iCs/>
          <w:sz w:val="24"/>
          <w:szCs w:val="24"/>
        </w:rPr>
      </w:pPr>
      <w:bookmarkStart w:id="2" w:name="_Toc420851454"/>
      <w:r w:rsidRPr="004778F7">
        <w:rPr>
          <w:rFonts w:cs="Arial"/>
          <w:bCs w:val="0"/>
          <w:iCs/>
          <w:sz w:val="24"/>
          <w:szCs w:val="24"/>
        </w:rPr>
        <w:t>Účastníci konania</w:t>
      </w:r>
      <w:bookmarkEnd w:id="2"/>
    </w:p>
    <w:p w14:paraId="3BF697E7" w14:textId="77777777" w:rsidR="004778F7" w:rsidRPr="004778F7" w:rsidRDefault="004778F7" w:rsidP="004778F7">
      <w:pPr>
        <w:pStyle w:val="Nadpis3"/>
        <w:spacing w:line="360" w:lineRule="auto"/>
        <w:contextualSpacing/>
        <w:rPr>
          <w:rFonts w:cs="Arial"/>
          <w:bCs w:val="0"/>
          <w:iCs/>
          <w:sz w:val="24"/>
          <w:szCs w:val="24"/>
        </w:rPr>
      </w:pPr>
    </w:p>
    <w:p w14:paraId="136E9FB1" w14:textId="33CE54FD" w:rsidR="004778F7" w:rsidRDefault="004778F7" w:rsidP="004778F7">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Účastníci súdneho konania sa delia na hlavných a vedľajších. Hlavnými účastníkmi súdneho konania sú tí, ktorí súdny spor vedú, vedľajší sú tí, ktorí môžu k hlavným pristúpiť a prípadne ich v spore nahradiť. </w:t>
      </w:r>
    </w:p>
    <w:p w14:paraId="3A67B5DA" w14:textId="37B84A75" w:rsidR="004778F7" w:rsidRDefault="004778F7" w:rsidP="004778F7">
      <w:pPr>
        <w:spacing w:line="360" w:lineRule="auto"/>
        <w:contextualSpacing/>
        <w:jc w:val="both"/>
        <w:rPr>
          <w:rFonts w:ascii="Arial" w:hAnsi="Arial" w:cs="Arial"/>
          <w:sz w:val="24"/>
          <w:szCs w:val="24"/>
        </w:rPr>
      </w:pPr>
    </w:p>
    <w:p w14:paraId="340D3150" w14:textId="1C14CE94" w:rsidR="004778F7" w:rsidRPr="004778F7" w:rsidRDefault="004778F7" w:rsidP="004778F7">
      <w:pPr>
        <w:spacing w:line="360" w:lineRule="auto"/>
        <w:contextualSpacing/>
        <w:jc w:val="both"/>
        <w:rPr>
          <w:rFonts w:ascii="Arial" w:hAnsi="Arial" w:cs="Arial"/>
          <w:b/>
          <w:bCs/>
          <w:sz w:val="24"/>
          <w:szCs w:val="24"/>
        </w:rPr>
      </w:pPr>
      <w:r>
        <w:rPr>
          <w:rFonts w:ascii="Arial" w:hAnsi="Arial" w:cs="Arial"/>
          <w:b/>
          <w:bCs/>
          <w:sz w:val="24"/>
          <w:szCs w:val="24"/>
        </w:rPr>
        <w:t>Hlavní účastníci konania</w:t>
      </w:r>
    </w:p>
    <w:p w14:paraId="53BC1C0B" w14:textId="77777777" w:rsidR="004778F7" w:rsidRPr="00DF088F" w:rsidRDefault="004778F7" w:rsidP="004778F7">
      <w:pPr>
        <w:spacing w:line="360" w:lineRule="auto"/>
        <w:ind w:firstLine="708"/>
        <w:contextualSpacing/>
        <w:jc w:val="both"/>
        <w:rPr>
          <w:rFonts w:ascii="Arial" w:hAnsi="Arial" w:cs="Arial"/>
          <w:sz w:val="24"/>
          <w:szCs w:val="24"/>
        </w:rPr>
      </w:pPr>
      <w:r w:rsidRPr="00DF088F">
        <w:rPr>
          <w:rFonts w:ascii="Arial" w:hAnsi="Arial" w:cs="Arial"/>
          <w:i/>
          <w:sz w:val="24"/>
          <w:szCs w:val="24"/>
        </w:rPr>
        <w:t xml:space="preserve">Žalobcom </w:t>
      </w:r>
      <w:r w:rsidRPr="00DF088F">
        <w:rPr>
          <w:rFonts w:ascii="Arial" w:hAnsi="Arial" w:cs="Arial"/>
          <w:sz w:val="24"/>
          <w:szCs w:val="24"/>
        </w:rPr>
        <w:t>(</w:t>
      </w:r>
      <w:proofErr w:type="spellStart"/>
      <w:r w:rsidRPr="00DF088F">
        <w:rPr>
          <w:rFonts w:ascii="Arial" w:hAnsi="Arial" w:cs="Arial"/>
          <w:sz w:val="24"/>
          <w:szCs w:val="24"/>
        </w:rPr>
        <w:t>actor</w:t>
      </w:r>
      <w:proofErr w:type="spellEnd"/>
      <w:r w:rsidRPr="00DF088F">
        <w:rPr>
          <w:rFonts w:ascii="Arial" w:hAnsi="Arial" w:cs="Arial"/>
          <w:sz w:val="24"/>
          <w:szCs w:val="24"/>
        </w:rPr>
        <w:t xml:space="preserve">) mohla byť len osobne slobodná osoba zákonného veku. V záujme detí začínala konanie hlava rodiny, vydatú ženu zastupoval jej manžel – </w:t>
      </w:r>
      <w:r w:rsidRPr="00DF088F">
        <w:rPr>
          <w:rFonts w:ascii="Arial" w:hAnsi="Arial" w:cs="Arial"/>
          <w:i/>
          <w:sz w:val="24"/>
          <w:szCs w:val="24"/>
        </w:rPr>
        <w:t>zákonný zástupca</w:t>
      </w:r>
      <w:r w:rsidRPr="00DF088F">
        <w:rPr>
          <w:rFonts w:ascii="Arial" w:hAnsi="Arial" w:cs="Arial"/>
          <w:sz w:val="24"/>
          <w:szCs w:val="24"/>
        </w:rPr>
        <w:t xml:space="preserve">. Osoba požívajúca status sluhu nemohla začínať súdne konanie. Poddaní nesmeli žalovať svojich zemepánov. Poddaného alebo mešťana na súde zastupoval jeho zemepán, resp. mestská vrchnosť. Súdny spor nemohli začínať ani osoby odsúdené za ťažký trestný čin (napr. feudálnu neveru), nečestné (infámne) osoby, osoby pod cirkevnou kliatbou alebo interdiktom. Osoby odsúdené za </w:t>
      </w:r>
      <w:proofErr w:type="spellStart"/>
      <w:r w:rsidRPr="00DF088F">
        <w:rPr>
          <w:rFonts w:ascii="Arial" w:hAnsi="Arial" w:cs="Arial"/>
          <w:sz w:val="24"/>
          <w:szCs w:val="24"/>
        </w:rPr>
        <w:t>kverulantstvo</w:t>
      </w:r>
      <w:proofErr w:type="spellEnd"/>
      <w:r w:rsidRPr="00DF088F">
        <w:rPr>
          <w:rFonts w:ascii="Arial" w:hAnsi="Arial" w:cs="Arial"/>
          <w:sz w:val="24"/>
          <w:szCs w:val="24"/>
        </w:rPr>
        <w:t xml:space="preserve"> mali obmedzenú spôsobilosť na žalovanie – mohli žalovať len spory s nižšou hodnotou. </w:t>
      </w:r>
    </w:p>
    <w:p w14:paraId="728CAA09" w14:textId="6545D669" w:rsidR="004778F7" w:rsidRDefault="004778F7" w:rsidP="004778F7">
      <w:pPr>
        <w:spacing w:line="360" w:lineRule="auto"/>
        <w:ind w:firstLine="708"/>
        <w:contextualSpacing/>
        <w:jc w:val="both"/>
        <w:rPr>
          <w:rFonts w:ascii="Arial" w:hAnsi="Arial" w:cs="Arial"/>
          <w:sz w:val="24"/>
          <w:szCs w:val="24"/>
        </w:rPr>
      </w:pPr>
      <w:r w:rsidRPr="00DF088F">
        <w:rPr>
          <w:rFonts w:ascii="Arial" w:hAnsi="Arial" w:cs="Arial"/>
          <w:i/>
          <w:sz w:val="24"/>
          <w:szCs w:val="24"/>
        </w:rPr>
        <w:t xml:space="preserve">Žalovaným </w:t>
      </w:r>
      <w:r w:rsidRPr="00DF088F">
        <w:rPr>
          <w:rFonts w:ascii="Arial" w:hAnsi="Arial" w:cs="Arial"/>
          <w:sz w:val="24"/>
          <w:szCs w:val="24"/>
        </w:rPr>
        <w:t>(</w:t>
      </w:r>
      <w:proofErr w:type="spellStart"/>
      <w:r w:rsidRPr="00DF088F">
        <w:rPr>
          <w:rFonts w:ascii="Arial" w:hAnsi="Arial" w:cs="Arial"/>
          <w:sz w:val="24"/>
          <w:szCs w:val="24"/>
        </w:rPr>
        <w:t>incattus</w:t>
      </w:r>
      <w:proofErr w:type="spellEnd"/>
      <w:r w:rsidRPr="00DF088F">
        <w:rPr>
          <w:rFonts w:ascii="Arial" w:hAnsi="Arial" w:cs="Arial"/>
          <w:sz w:val="24"/>
          <w:szCs w:val="24"/>
        </w:rPr>
        <w:t xml:space="preserve">) mohla tiež byť len osoba so zákonným vekom. Spor však mohol byť začatý aj proti maloletému, ktorý obsadil cudzí pozemok alebo tento pozemok „zdedil“. Ak sa počas konania zistilo, že žalovaný nie je plnoletý, musel byť spor odročený. Pravdepodobný vek sa v takomto prípade zisťoval obhliadkou žalovaného. Spor mohol pokračovať, keď žalovaný dospel do zákonného veku. </w:t>
      </w:r>
    </w:p>
    <w:p w14:paraId="13CE942A" w14:textId="7716D3D0" w:rsidR="004778F7" w:rsidRDefault="004778F7" w:rsidP="004778F7">
      <w:pPr>
        <w:spacing w:line="360" w:lineRule="auto"/>
        <w:contextualSpacing/>
        <w:jc w:val="both"/>
        <w:rPr>
          <w:rFonts w:ascii="Arial" w:hAnsi="Arial" w:cs="Arial"/>
          <w:sz w:val="24"/>
          <w:szCs w:val="24"/>
        </w:rPr>
      </w:pPr>
    </w:p>
    <w:p w14:paraId="41C8DA7C" w14:textId="15B3F518" w:rsidR="004778F7" w:rsidRPr="004778F7" w:rsidRDefault="004778F7" w:rsidP="004778F7">
      <w:pPr>
        <w:spacing w:line="360" w:lineRule="auto"/>
        <w:contextualSpacing/>
        <w:jc w:val="both"/>
        <w:rPr>
          <w:rFonts w:ascii="Arial" w:hAnsi="Arial" w:cs="Arial"/>
          <w:b/>
          <w:bCs/>
          <w:sz w:val="24"/>
          <w:szCs w:val="24"/>
        </w:rPr>
      </w:pPr>
      <w:r>
        <w:rPr>
          <w:rFonts w:ascii="Arial" w:hAnsi="Arial" w:cs="Arial"/>
          <w:b/>
          <w:bCs/>
          <w:sz w:val="24"/>
          <w:szCs w:val="24"/>
        </w:rPr>
        <w:t>Vedľajší účastníci konania</w:t>
      </w:r>
    </w:p>
    <w:p w14:paraId="19640585" w14:textId="77777777" w:rsidR="004778F7" w:rsidRPr="00DF088F" w:rsidRDefault="004778F7" w:rsidP="004778F7">
      <w:pPr>
        <w:spacing w:line="360" w:lineRule="auto"/>
        <w:ind w:firstLine="708"/>
        <w:contextualSpacing/>
        <w:jc w:val="both"/>
        <w:rPr>
          <w:rFonts w:ascii="Arial" w:hAnsi="Arial" w:cs="Arial"/>
          <w:sz w:val="24"/>
          <w:szCs w:val="24"/>
        </w:rPr>
      </w:pPr>
      <w:r w:rsidRPr="00DF088F">
        <w:rPr>
          <w:rFonts w:ascii="Arial" w:hAnsi="Arial" w:cs="Arial"/>
          <w:i/>
          <w:sz w:val="24"/>
          <w:szCs w:val="24"/>
        </w:rPr>
        <w:t xml:space="preserve">Splnomocnenec </w:t>
      </w:r>
      <w:r w:rsidRPr="00DF088F">
        <w:rPr>
          <w:rFonts w:ascii="Arial" w:hAnsi="Arial" w:cs="Arial"/>
          <w:sz w:val="24"/>
          <w:szCs w:val="24"/>
        </w:rPr>
        <w:t>(</w:t>
      </w:r>
      <w:proofErr w:type="spellStart"/>
      <w:r w:rsidRPr="00DF088F">
        <w:rPr>
          <w:rFonts w:ascii="Arial" w:hAnsi="Arial" w:cs="Arial"/>
          <w:sz w:val="24"/>
          <w:szCs w:val="24"/>
        </w:rPr>
        <w:t>procurator</w:t>
      </w:r>
      <w:proofErr w:type="spellEnd"/>
      <w:r w:rsidRPr="00DF088F">
        <w:rPr>
          <w:rFonts w:ascii="Arial" w:hAnsi="Arial" w:cs="Arial"/>
          <w:sz w:val="24"/>
          <w:szCs w:val="24"/>
        </w:rPr>
        <w:t xml:space="preserve">) bol úradným zástupcom účastníka konania. Plná moc sa udeľovala listinou, ktorá musela obsahovať pečať hodnoverného miesta, bola teda považovaná za verejnú listinu. </w:t>
      </w:r>
    </w:p>
    <w:p w14:paraId="2D3488AC" w14:textId="77777777" w:rsidR="004778F7" w:rsidRPr="00DF088F" w:rsidRDefault="004778F7" w:rsidP="004778F7">
      <w:pPr>
        <w:spacing w:line="360" w:lineRule="auto"/>
        <w:ind w:firstLine="708"/>
        <w:contextualSpacing/>
        <w:jc w:val="both"/>
        <w:rPr>
          <w:rFonts w:ascii="Arial" w:hAnsi="Arial" w:cs="Arial"/>
          <w:sz w:val="24"/>
          <w:szCs w:val="24"/>
        </w:rPr>
      </w:pPr>
      <w:r w:rsidRPr="00DF088F">
        <w:rPr>
          <w:rFonts w:ascii="Arial" w:hAnsi="Arial" w:cs="Arial"/>
          <w:i/>
          <w:sz w:val="24"/>
          <w:szCs w:val="24"/>
        </w:rPr>
        <w:t xml:space="preserve">Intervenient </w:t>
      </w:r>
      <w:r w:rsidRPr="00DF088F">
        <w:rPr>
          <w:rFonts w:ascii="Arial" w:hAnsi="Arial" w:cs="Arial"/>
          <w:sz w:val="24"/>
          <w:szCs w:val="24"/>
        </w:rPr>
        <w:t>(</w:t>
      </w:r>
      <w:proofErr w:type="spellStart"/>
      <w:r w:rsidRPr="00DF088F">
        <w:rPr>
          <w:rFonts w:ascii="Arial" w:hAnsi="Arial" w:cs="Arial"/>
          <w:sz w:val="24"/>
          <w:szCs w:val="24"/>
        </w:rPr>
        <w:t>ingerent</w:t>
      </w:r>
      <w:proofErr w:type="spellEnd"/>
      <w:r w:rsidRPr="00DF088F">
        <w:rPr>
          <w:rFonts w:ascii="Arial" w:hAnsi="Arial" w:cs="Arial"/>
          <w:sz w:val="24"/>
          <w:szCs w:val="24"/>
        </w:rPr>
        <w:t xml:space="preserve">) bol vedľajším účastníkom konania, ktorý vstupoval do konania na strane žalobcu najčastejšie preto, lebo mal rovnaký právny záujem. Pozíciu intervenienta musel súd uznať, keďže jej dôsledkom bolo, že na základe </w:t>
      </w:r>
      <w:r w:rsidRPr="00DF088F">
        <w:rPr>
          <w:rFonts w:ascii="Arial" w:hAnsi="Arial" w:cs="Arial"/>
          <w:sz w:val="24"/>
          <w:szCs w:val="24"/>
        </w:rPr>
        <w:lastRenderedPageBreak/>
        <w:t>dohody so žalobcom mohol intervenient pokračovať v konaní ako žalobca v prípade, keby pôvodný žalobca svoju žalobu neskôr stiahol.</w:t>
      </w:r>
    </w:p>
    <w:p w14:paraId="536C01A7" w14:textId="77777777" w:rsidR="004778F7" w:rsidRPr="00DF088F" w:rsidRDefault="004778F7" w:rsidP="004778F7">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   </w:t>
      </w:r>
      <w:r w:rsidRPr="00DF088F">
        <w:rPr>
          <w:rFonts w:ascii="Arial" w:hAnsi="Arial" w:cs="Arial"/>
          <w:i/>
          <w:sz w:val="24"/>
          <w:szCs w:val="24"/>
        </w:rPr>
        <w:t xml:space="preserve">Ručiteľ </w:t>
      </w:r>
      <w:r w:rsidRPr="00DF088F">
        <w:rPr>
          <w:rFonts w:ascii="Arial" w:hAnsi="Arial" w:cs="Arial"/>
          <w:sz w:val="24"/>
          <w:szCs w:val="24"/>
        </w:rPr>
        <w:t>(</w:t>
      </w:r>
      <w:proofErr w:type="spellStart"/>
      <w:r w:rsidRPr="00DF088F">
        <w:rPr>
          <w:rFonts w:ascii="Arial" w:hAnsi="Arial" w:cs="Arial"/>
          <w:sz w:val="24"/>
          <w:szCs w:val="24"/>
        </w:rPr>
        <w:t>evictor</w:t>
      </w:r>
      <w:proofErr w:type="spellEnd"/>
      <w:r w:rsidRPr="00DF088F">
        <w:rPr>
          <w:rFonts w:ascii="Arial" w:hAnsi="Arial" w:cs="Arial"/>
          <w:sz w:val="24"/>
          <w:szCs w:val="24"/>
        </w:rPr>
        <w:t xml:space="preserve">) bol osobou stojacou na strane žalovaného, ktorá preberala jeho záväzok v prípade straty sporu. Ak neskôr vznikol v súvislosti so žalovaným právnym úkonom súdny spor, ručiteľ vstupoval do pozície žalovaného. </w:t>
      </w:r>
    </w:p>
    <w:p w14:paraId="71885555" w14:textId="77777777" w:rsidR="004778F7" w:rsidRPr="00DF088F" w:rsidRDefault="004778F7" w:rsidP="004778F7">
      <w:pPr>
        <w:spacing w:line="360" w:lineRule="auto"/>
        <w:ind w:firstLine="708"/>
        <w:contextualSpacing/>
        <w:jc w:val="both"/>
        <w:rPr>
          <w:rFonts w:ascii="Arial" w:hAnsi="Arial" w:cs="Arial"/>
          <w:sz w:val="24"/>
          <w:szCs w:val="24"/>
        </w:rPr>
      </w:pPr>
      <w:r w:rsidRPr="00DF088F">
        <w:rPr>
          <w:rFonts w:ascii="Arial" w:hAnsi="Arial" w:cs="Arial"/>
          <w:i/>
          <w:sz w:val="24"/>
          <w:szCs w:val="24"/>
        </w:rPr>
        <w:t xml:space="preserve">Poradcovia </w:t>
      </w:r>
      <w:r w:rsidRPr="00DF088F">
        <w:rPr>
          <w:rFonts w:ascii="Arial" w:hAnsi="Arial" w:cs="Arial"/>
          <w:sz w:val="24"/>
          <w:szCs w:val="24"/>
        </w:rPr>
        <w:t>(</w:t>
      </w:r>
      <w:proofErr w:type="spellStart"/>
      <w:r w:rsidRPr="00DF088F">
        <w:rPr>
          <w:rFonts w:ascii="Arial" w:hAnsi="Arial" w:cs="Arial"/>
          <w:sz w:val="24"/>
          <w:szCs w:val="24"/>
        </w:rPr>
        <w:t>collocutor</w:t>
      </w:r>
      <w:proofErr w:type="spellEnd"/>
      <w:r w:rsidRPr="00DF088F">
        <w:rPr>
          <w:rFonts w:ascii="Arial" w:hAnsi="Arial" w:cs="Arial"/>
          <w:sz w:val="24"/>
          <w:szCs w:val="24"/>
        </w:rPr>
        <w:t xml:space="preserve">) poskytovali rady účastníkom konania. Svojou osobnou účasťou im pomáhali najčastejšie tak, že im radili, ako sa majú na súde správať. Účasť poradcov vyžadovali povinne najmä nižšie súdy. </w:t>
      </w:r>
    </w:p>
    <w:p w14:paraId="30B617C3" w14:textId="17240436" w:rsidR="004778F7" w:rsidRDefault="004778F7"/>
    <w:p w14:paraId="239442B9" w14:textId="39EF676C" w:rsidR="004778F7" w:rsidRPr="004778F7" w:rsidRDefault="004778F7" w:rsidP="004778F7">
      <w:pPr>
        <w:pStyle w:val="Nadpis4"/>
        <w:spacing w:line="360" w:lineRule="auto"/>
        <w:contextualSpacing/>
        <w:rPr>
          <w:rFonts w:ascii="Arial" w:hAnsi="Arial" w:cs="Arial"/>
          <w:b/>
          <w:bCs/>
          <w:i w:val="0"/>
          <w:iCs w:val="0"/>
          <w:color w:val="auto"/>
          <w:sz w:val="24"/>
          <w:szCs w:val="24"/>
          <w:lang w:eastAsia="sk-SK"/>
        </w:rPr>
      </w:pPr>
      <w:r w:rsidRPr="004778F7">
        <w:rPr>
          <w:rFonts w:ascii="Arial" w:hAnsi="Arial" w:cs="Arial"/>
          <w:b/>
          <w:bCs/>
          <w:i w:val="0"/>
          <w:iCs w:val="0"/>
          <w:color w:val="auto"/>
          <w:sz w:val="24"/>
          <w:szCs w:val="24"/>
          <w:lang w:eastAsia="sk-SK"/>
        </w:rPr>
        <w:t>Písomný civilný proces</w:t>
      </w:r>
    </w:p>
    <w:p w14:paraId="09D07765" w14:textId="77777777" w:rsidR="004778F7" w:rsidRPr="00DF088F" w:rsidRDefault="004778F7" w:rsidP="004778F7">
      <w:pPr>
        <w:spacing w:line="360" w:lineRule="auto"/>
        <w:contextualSpacing/>
        <w:rPr>
          <w:lang w:eastAsia="sk-SK"/>
        </w:rPr>
      </w:pPr>
    </w:p>
    <w:p w14:paraId="1D811C69" w14:textId="77777777" w:rsidR="004778F7" w:rsidRPr="00DF088F" w:rsidRDefault="004778F7" w:rsidP="004778F7">
      <w:pPr>
        <w:spacing w:line="360" w:lineRule="auto"/>
        <w:contextualSpacing/>
        <w:jc w:val="both"/>
        <w:rPr>
          <w:rFonts w:ascii="Arial" w:hAnsi="Arial" w:cs="Arial"/>
          <w:sz w:val="24"/>
          <w:szCs w:val="24"/>
          <w:lang w:eastAsia="sk-SK"/>
        </w:rPr>
      </w:pPr>
      <w:r w:rsidRPr="00DF088F">
        <w:rPr>
          <w:rFonts w:ascii="Arial" w:hAnsi="Arial" w:cs="Arial"/>
          <w:sz w:val="24"/>
          <w:szCs w:val="24"/>
          <w:lang w:eastAsia="sk-SK"/>
        </w:rPr>
        <w:tab/>
        <w:t xml:space="preserve">Začiatok 14. storočia je medzníkom vo vývoji uhorského procesného práva. Súdne konanie sa začína diferencovať na civilné a trestné, zároveň zavedenie riadnych opravných prostriedkov umožnilo rozlišovať medzi prvostupňovým a odvolacím procesom. Po roku 1526 zároveň s nástupom Habsburgovcov dochádza aj k zmene súdnej organizácie, ktorá si vynúti zavedenie písomného a ústneho súdnictva. </w:t>
      </w:r>
    </w:p>
    <w:p w14:paraId="7D2B9CE4" w14:textId="77777777" w:rsidR="004778F7" w:rsidRPr="00DF088F" w:rsidRDefault="004778F7" w:rsidP="004778F7">
      <w:pPr>
        <w:spacing w:line="360" w:lineRule="auto"/>
        <w:contextualSpacing/>
        <w:jc w:val="both"/>
        <w:rPr>
          <w:rFonts w:ascii="Arial" w:hAnsi="Arial" w:cs="Arial"/>
          <w:sz w:val="24"/>
          <w:szCs w:val="24"/>
          <w:lang w:eastAsia="sk-SK"/>
        </w:rPr>
      </w:pPr>
      <w:r w:rsidRPr="00DF088F">
        <w:rPr>
          <w:rFonts w:ascii="Arial" w:hAnsi="Arial" w:cs="Arial"/>
          <w:sz w:val="24"/>
          <w:szCs w:val="24"/>
          <w:lang w:eastAsia="sk-SK"/>
        </w:rPr>
        <w:tab/>
        <w:t>V </w:t>
      </w:r>
      <w:r w:rsidRPr="00DF088F">
        <w:rPr>
          <w:rFonts w:ascii="Arial" w:hAnsi="Arial" w:cs="Arial"/>
          <w:i/>
          <w:sz w:val="24"/>
          <w:szCs w:val="24"/>
          <w:lang w:eastAsia="sk-SK"/>
        </w:rPr>
        <w:t xml:space="preserve">písomnom civilnom procese </w:t>
      </w:r>
      <w:r w:rsidRPr="00DF088F">
        <w:rPr>
          <w:rFonts w:ascii="Arial" w:hAnsi="Arial" w:cs="Arial"/>
          <w:sz w:val="24"/>
          <w:szCs w:val="24"/>
          <w:lang w:eastAsia="sk-SK"/>
        </w:rPr>
        <w:t xml:space="preserve">bolo verejné len vyhlásenie rozsudku. Samotné konanie pozostávalo z vyhľadávania a posudzovania listín. Konanie sa začínalo na základe žalobnej listiny podávanej žalobcom na kompetentný a príslušný súd. Ten rozhodol, či je žalobná listina vhodná na uplatňovanie práva. Ak súd uznal žalobnú listinu za vhodnú, odoslal ju spoločne s predvolávacou listinou žalovanému, V predvolávacej listine súd určil deň, kedy sa konanie začne. </w:t>
      </w:r>
    </w:p>
    <w:p w14:paraId="0D2ED23D" w14:textId="77777777" w:rsidR="004778F7" w:rsidRPr="00DF088F" w:rsidRDefault="004778F7" w:rsidP="004778F7">
      <w:pPr>
        <w:spacing w:line="360" w:lineRule="auto"/>
        <w:contextualSpacing/>
        <w:jc w:val="both"/>
        <w:rPr>
          <w:rFonts w:ascii="Arial" w:hAnsi="Arial" w:cs="Arial"/>
          <w:sz w:val="24"/>
          <w:szCs w:val="24"/>
          <w:lang w:eastAsia="sk-SK"/>
        </w:rPr>
      </w:pPr>
      <w:r w:rsidRPr="00DF088F">
        <w:rPr>
          <w:rFonts w:ascii="Arial" w:hAnsi="Arial" w:cs="Arial"/>
          <w:sz w:val="24"/>
          <w:szCs w:val="24"/>
          <w:lang w:eastAsia="sk-SK"/>
        </w:rPr>
        <w:tab/>
        <w:t>Súdne konanie prebiehalo medzi splnomocnencami účastníkov konania. Miestom jeho konania bol súdny archív, v ktorom boli uložené všetky listiny potrebné pre rozhodnutie vo veci. Úplný písomný procesný materiál bol potom predložený súdu, ktorý vynášal rozhodnutie vo forme konečného rozsudku. Proti rozsudku bolo prípustné odvolanie. Súd pri rozhodovaní o odvolaní vychádzal z predložených písomných podkladov. Iným opravným prostriedkom bola obnova konania, ktorú požadoval na prvostupňovom súde účastník konania, ktorý v spore prehral. Známa bola aj obnova konania s kráľovským súhlasom.</w:t>
      </w:r>
    </w:p>
    <w:p w14:paraId="58D52FFF" w14:textId="77777777" w:rsidR="004778F7" w:rsidRDefault="004778F7" w:rsidP="004778F7">
      <w:pPr>
        <w:pStyle w:val="Nadpis4"/>
        <w:spacing w:line="360" w:lineRule="auto"/>
        <w:contextualSpacing/>
        <w:rPr>
          <w:rFonts w:ascii="Arial" w:hAnsi="Arial" w:cs="Arial"/>
          <w:color w:val="auto"/>
          <w:sz w:val="24"/>
          <w:szCs w:val="24"/>
          <w:lang w:eastAsia="sk-SK"/>
        </w:rPr>
      </w:pPr>
    </w:p>
    <w:p w14:paraId="584427EE" w14:textId="200B1CA4" w:rsidR="004778F7" w:rsidRPr="004778F7" w:rsidRDefault="004778F7" w:rsidP="004778F7">
      <w:pPr>
        <w:pStyle w:val="Nadpis4"/>
        <w:spacing w:line="360" w:lineRule="auto"/>
        <w:contextualSpacing/>
        <w:rPr>
          <w:rFonts w:ascii="Arial" w:hAnsi="Arial" w:cs="Arial"/>
          <w:b/>
          <w:bCs/>
          <w:i w:val="0"/>
          <w:iCs w:val="0"/>
          <w:color w:val="auto"/>
          <w:sz w:val="24"/>
          <w:szCs w:val="24"/>
          <w:lang w:eastAsia="sk-SK"/>
        </w:rPr>
      </w:pPr>
      <w:r w:rsidRPr="004778F7">
        <w:rPr>
          <w:rFonts w:ascii="Arial" w:hAnsi="Arial" w:cs="Arial"/>
          <w:b/>
          <w:bCs/>
          <w:i w:val="0"/>
          <w:iCs w:val="0"/>
          <w:color w:val="auto"/>
          <w:sz w:val="24"/>
          <w:szCs w:val="24"/>
          <w:lang w:eastAsia="sk-SK"/>
        </w:rPr>
        <w:t>Ústny civilný proces</w:t>
      </w:r>
    </w:p>
    <w:p w14:paraId="49BCB106" w14:textId="77777777" w:rsidR="004778F7" w:rsidRPr="004778F7" w:rsidRDefault="004778F7" w:rsidP="004778F7">
      <w:pPr>
        <w:spacing w:line="360" w:lineRule="auto"/>
        <w:contextualSpacing/>
        <w:jc w:val="both"/>
        <w:rPr>
          <w:rFonts w:ascii="Arial" w:hAnsi="Arial" w:cs="Arial"/>
          <w:b/>
          <w:bCs/>
          <w:sz w:val="24"/>
          <w:szCs w:val="24"/>
          <w:lang w:eastAsia="sk-SK"/>
        </w:rPr>
      </w:pPr>
    </w:p>
    <w:p w14:paraId="66E00BAB" w14:textId="77777777" w:rsidR="004778F7" w:rsidRPr="00DF088F" w:rsidRDefault="004778F7" w:rsidP="004778F7">
      <w:pPr>
        <w:spacing w:line="360" w:lineRule="auto"/>
        <w:contextualSpacing/>
        <w:jc w:val="both"/>
        <w:rPr>
          <w:rFonts w:ascii="Arial" w:hAnsi="Arial" w:cs="Arial"/>
          <w:sz w:val="24"/>
          <w:szCs w:val="24"/>
          <w:lang w:eastAsia="sk-SK"/>
        </w:rPr>
      </w:pPr>
      <w:r w:rsidRPr="00DF088F">
        <w:rPr>
          <w:rFonts w:ascii="Arial" w:hAnsi="Arial" w:cs="Arial"/>
          <w:sz w:val="24"/>
          <w:szCs w:val="24"/>
          <w:lang w:eastAsia="sk-SK"/>
        </w:rPr>
        <w:tab/>
        <w:t>Na nižších súdoch Uhorska sa pred rokom 1526 častejšie používal ústny civilný proces. Jeho konanie sa rozdeľovalo na nasledovné fázy:</w:t>
      </w:r>
    </w:p>
    <w:p w14:paraId="3C2C8CD1" w14:textId="77777777" w:rsidR="004778F7" w:rsidRPr="00DF088F" w:rsidRDefault="004778F7" w:rsidP="004778F7">
      <w:pPr>
        <w:spacing w:line="360" w:lineRule="auto"/>
        <w:contextualSpacing/>
        <w:jc w:val="both"/>
        <w:rPr>
          <w:rFonts w:ascii="Arial" w:hAnsi="Arial" w:cs="Arial"/>
          <w:sz w:val="24"/>
          <w:szCs w:val="24"/>
          <w:lang w:eastAsia="sk-SK"/>
        </w:rPr>
      </w:pPr>
      <w:r w:rsidRPr="00DF088F">
        <w:rPr>
          <w:rFonts w:ascii="Arial" w:hAnsi="Arial" w:cs="Arial"/>
          <w:sz w:val="24"/>
          <w:szCs w:val="24"/>
          <w:lang w:eastAsia="sk-SK"/>
        </w:rPr>
        <w:tab/>
      </w:r>
      <w:r w:rsidRPr="004778F7">
        <w:rPr>
          <w:rFonts w:ascii="Arial" w:hAnsi="Arial" w:cs="Arial"/>
          <w:bCs/>
          <w:i/>
          <w:sz w:val="24"/>
          <w:szCs w:val="24"/>
          <w:lang w:eastAsia="sk-SK"/>
        </w:rPr>
        <w:t>1. Predvolanie</w:t>
      </w:r>
      <w:r w:rsidRPr="00DF088F">
        <w:rPr>
          <w:rFonts w:ascii="Arial" w:hAnsi="Arial" w:cs="Arial"/>
          <w:b/>
          <w:i/>
          <w:sz w:val="24"/>
          <w:szCs w:val="24"/>
          <w:lang w:eastAsia="sk-SK"/>
        </w:rPr>
        <w:t xml:space="preserve"> </w:t>
      </w:r>
      <w:r w:rsidRPr="00DF088F">
        <w:rPr>
          <w:rFonts w:ascii="Arial" w:hAnsi="Arial" w:cs="Arial"/>
          <w:sz w:val="24"/>
          <w:szCs w:val="24"/>
          <w:lang w:eastAsia="sk-SK"/>
        </w:rPr>
        <w:t>(</w:t>
      </w:r>
      <w:proofErr w:type="spellStart"/>
      <w:r w:rsidRPr="00DF088F">
        <w:rPr>
          <w:rFonts w:ascii="Arial" w:hAnsi="Arial" w:cs="Arial"/>
          <w:sz w:val="24"/>
          <w:szCs w:val="24"/>
          <w:lang w:eastAsia="sk-SK"/>
        </w:rPr>
        <w:t>citatio</w:t>
      </w:r>
      <w:proofErr w:type="spellEnd"/>
      <w:r w:rsidRPr="00DF088F">
        <w:rPr>
          <w:rFonts w:ascii="Arial" w:hAnsi="Arial" w:cs="Arial"/>
          <w:sz w:val="24"/>
          <w:szCs w:val="24"/>
          <w:lang w:eastAsia="sk-SK"/>
        </w:rPr>
        <w:t xml:space="preserve">) bolo písomné. Vydával ho sudca alebo panovník vo forme predvolávacieho príkazu. Doručoval ho tzv. kráľovský človek alebo zástupca hodnoverného miesta do 60 dní od vydania. V prípade neúspechu bolo možné doručovanie zopakovať šesťkrát a následne sa v prípade neúspechu verejne vyhlasovalo na trhoch. Sankciou za nerešpektovanie predvolania bola strata sporu. </w:t>
      </w:r>
    </w:p>
    <w:p w14:paraId="142304C5" w14:textId="77777777" w:rsidR="004778F7" w:rsidRPr="00DF088F" w:rsidRDefault="004778F7" w:rsidP="004778F7">
      <w:pPr>
        <w:spacing w:line="360" w:lineRule="auto"/>
        <w:contextualSpacing/>
        <w:jc w:val="both"/>
        <w:rPr>
          <w:rFonts w:ascii="Arial" w:hAnsi="Arial" w:cs="Arial"/>
          <w:sz w:val="24"/>
          <w:szCs w:val="24"/>
          <w:lang w:eastAsia="sk-SK"/>
        </w:rPr>
      </w:pPr>
      <w:r w:rsidRPr="00DF088F">
        <w:rPr>
          <w:rFonts w:ascii="Arial" w:hAnsi="Arial" w:cs="Arial"/>
          <w:b/>
          <w:i/>
          <w:sz w:val="24"/>
          <w:szCs w:val="24"/>
          <w:lang w:eastAsia="sk-SK"/>
        </w:rPr>
        <w:tab/>
      </w:r>
      <w:r w:rsidRPr="005215F4">
        <w:rPr>
          <w:rFonts w:ascii="Arial" w:hAnsi="Arial" w:cs="Arial"/>
          <w:bCs/>
          <w:i/>
          <w:sz w:val="24"/>
          <w:szCs w:val="24"/>
          <w:lang w:eastAsia="sk-SK"/>
        </w:rPr>
        <w:t xml:space="preserve">2. Začatie konania. </w:t>
      </w:r>
      <w:r w:rsidRPr="00DF088F">
        <w:rPr>
          <w:rFonts w:ascii="Arial" w:hAnsi="Arial" w:cs="Arial"/>
          <w:sz w:val="24"/>
          <w:szCs w:val="24"/>
          <w:lang w:eastAsia="sk-SK"/>
        </w:rPr>
        <w:t>Konanie sa začínalo vtedy, keď sa účastníci konania dostavili na súd. Podmienkou začatia konania bolo, že žalobca ústne predniesol svoju žalobu.</w:t>
      </w:r>
    </w:p>
    <w:p w14:paraId="1E7AC10D" w14:textId="77777777" w:rsidR="004778F7" w:rsidRPr="00DF088F" w:rsidRDefault="004778F7" w:rsidP="004778F7">
      <w:pPr>
        <w:spacing w:line="360" w:lineRule="auto"/>
        <w:contextualSpacing/>
        <w:jc w:val="both"/>
        <w:rPr>
          <w:rFonts w:ascii="Arial" w:hAnsi="Arial" w:cs="Arial"/>
          <w:sz w:val="24"/>
          <w:szCs w:val="24"/>
          <w:lang w:eastAsia="sk-SK"/>
        </w:rPr>
      </w:pPr>
      <w:r w:rsidRPr="00DF088F">
        <w:rPr>
          <w:rFonts w:ascii="Arial" w:hAnsi="Arial" w:cs="Arial"/>
          <w:sz w:val="24"/>
          <w:szCs w:val="24"/>
          <w:lang w:eastAsia="sk-SK"/>
        </w:rPr>
        <w:tab/>
      </w:r>
      <w:r w:rsidRPr="005215F4">
        <w:rPr>
          <w:rFonts w:ascii="Arial" w:hAnsi="Arial" w:cs="Arial"/>
          <w:bCs/>
          <w:i/>
          <w:sz w:val="24"/>
          <w:szCs w:val="24"/>
          <w:lang w:eastAsia="sk-SK"/>
        </w:rPr>
        <w:t xml:space="preserve">3. </w:t>
      </w:r>
      <w:proofErr w:type="spellStart"/>
      <w:r w:rsidRPr="005215F4">
        <w:rPr>
          <w:rFonts w:ascii="Arial" w:hAnsi="Arial" w:cs="Arial"/>
          <w:bCs/>
          <w:i/>
          <w:sz w:val="24"/>
          <w:szCs w:val="24"/>
          <w:lang w:eastAsia="sk-SK"/>
        </w:rPr>
        <w:t>Litis</w:t>
      </w:r>
      <w:proofErr w:type="spellEnd"/>
      <w:r w:rsidRPr="005215F4">
        <w:rPr>
          <w:rFonts w:ascii="Arial" w:hAnsi="Arial" w:cs="Arial"/>
          <w:bCs/>
          <w:i/>
          <w:sz w:val="24"/>
          <w:szCs w:val="24"/>
          <w:lang w:eastAsia="sk-SK"/>
        </w:rPr>
        <w:t xml:space="preserve"> </w:t>
      </w:r>
      <w:proofErr w:type="spellStart"/>
      <w:r w:rsidRPr="005215F4">
        <w:rPr>
          <w:rFonts w:ascii="Arial" w:hAnsi="Arial" w:cs="Arial"/>
          <w:bCs/>
          <w:i/>
          <w:sz w:val="24"/>
          <w:szCs w:val="24"/>
          <w:lang w:eastAsia="sk-SK"/>
        </w:rPr>
        <w:t>contestatio</w:t>
      </w:r>
      <w:proofErr w:type="spellEnd"/>
      <w:r w:rsidRPr="005215F4">
        <w:rPr>
          <w:rFonts w:ascii="Arial" w:hAnsi="Arial" w:cs="Arial"/>
          <w:bCs/>
          <w:i/>
          <w:sz w:val="24"/>
          <w:szCs w:val="24"/>
          <w:lang w:eastAsia="sk-SK"/>
        </w:rPr>
        <w:t>.</w:t>
      </w:r>
      <w:r w:rsidRPr="00DF088F">
        <w:rPr>
          <w:rFonts w:ascii="Arial" w:hAnsi="Arial" w:cs="Arial"/>
          <w:b/>
          <w:i/>
          <w:sz w:val="24"/>
          <w:szCs w:val="24"/>
          <w:lang w:eastAsia="sk-SK"/>
        </w:rPr>
        <w:t xml:space="preserve"> </w:t>
      </w:r>
      <w:r w:rsidRPr="00DF088F">
        <w:rPr>
          <w:rFonts w:ascii="Arial" w:hAnsi="Arial" w:cs="Arial"/>
          <w:sz w:val="24"/>
          <w:szCs w:val="24"/>
          <w:lang w:eastAsia="sk-SK"/>
        </w:rPr>
        <w:t xml:space="preserve">Je to osobitná fáza súdneho konania. Začínalo sa v nej </w:t>
      </w:r>
      <w:proofErr w:type="spellStart"/>
      <w:r w:rsidRPr="00DF088F">
        <w:rPr>
          <w:rFonts w:ascii="Arial" w:hAnsi="Arial" w:cs="Arial"/>
          <w:sz w:val="24"/>
          <w:szCs w:val="24"/>
          <w:lang w:eastAsia="sk-SK"/>
        </w:rPr>
        <w:t>prejednávanie</w:t>
      </w:r>
      <w:proofErr w:type="spellEnd"/>
      <w:r w:rsidRPr="00DF088F">
        <w:rPr>
          <w:rFonts w:ascii="Arial" w:hAnsi="Arial" w:cs="Arial"/>
          <w:sz w:val="24"/>
          <w:szCs w:val="24"/>
          <w:lang w:eastAsia="sk-SK"/>
        </w:rPr>
        <w:t xml:space="preserve"> veci samej. Žalovaný sa tu musel vyjadriť k obsahu žaloby. Ak žalovaný so žalobou súhlasil, spor sa skončil. Ak voči nej vzniesol námietky, začalo sa vo veci konať.</w:t>
      </w:r>
    </w:p>
    <w:p w14:paraId="664CCE23" w14:textId="77777777" w:rsidR="004778F7" w:rsidRPr="00DF088F" w:rsidRDefault="004778F7" w:rsidP="004778F7">
      <w:pPr>
        <w:spacing w:line="360" w:lineRule="auto"/>
        <w:contextualSpacing/>
        <w:jc w:val="both"/>
        <w:rPr>
          <w:rFonts w:ascii="Arial" w:hAnsi="Arial" w:cs="Arial"/>
          <w:sz w:val="24"/>
          <w:szCs w:val="24"/>
          <w:lang w:eastAsia="sk-SK"/>
        </w:rPr>
      </w:pPr>
      <w:r w:rsidRPr="00DF088F">
        <w:rPr>
          <w:rFonts w:ascii="Arial" w:hAnsi="Arial" w:cs="Arial"/>
          <w:sz w:val="24"/>
          <w:szCs w:val="24"/>
          <w:lang w:eastAsia="sk-SK"/>
        </w:rPr>
        <w:tab/>
      </w:r>
      <w:r w:rsidRPr="005215F4">
        <w:rPr>
          <w:rFonts w:ascii="Arial" w:hAnsi="Arial" w:cs="Arial"/>
          <w:bCs/>
          <w:i/>
          <w:sz w:val="24"/>
          <w:szCs w:val="24"/>
          <w:lang w:eastAsia="sk-SK"/>
        </w:rPr>
        <w:t>4. Dokazovanie.</w:t>
      </w:r>
      <w:r w:rsidRPr="00DF088F">
        <w:rPr>
          <w:rFonts w:ascii="Arial" w:hAnsi="Arial" w:cs="Arial"/>
          <w:b/>
          <w:i/>
          <w:sz w:val="24"/>
          <w:szCs w:val="24"/>
          <w:lang w:eastAsia="sk-SK"/>
        </w:rPr>
        <w:t xml:space="preserve"> </w:t>
      </w:r>
      <w:r w:rsidRPr="00DF088F">
        <w:rPr>
          <w:rFonts w:ascii="Arial" w:hAnsi="Arial" w:cs="Arial"/>
          <w:sz w:val="24"/>
          <w:szCs w:val="24"/>
          <w:lang w:eastAsia="sk-SK"/>
        </w:rPr>
        <w:t xml:space="preserve">Jeho cieľom tu bolo už spoznanie pravdy – zistenie skutkového stavu. Preto boli z konania postupne vytláčané formálne dôkazné prostriedky. Spomedzi dôkazov najväčší význam mali </w:t>
      </w:r>
      <w:r w:rsidRPr="00DF088F">
        <w:rPr>
          <w:rFonts w:ascii="Arial" w:hAnsi="Arial" w:cs="Arial"/>
          <w:i/>
          <w:sz w:val="24"/>
          <w:szCs w:val="24"/>
          <w:lang w:eastAsia="sk-SK"/>
        </w:rPr>
        <w:t xml:space="preserve">právne listiny, </w:t>
      </w:r>
      <w:r w:rsidRPr="00DF088F">
        <w:rPr>
          <w:rFonts w:ascii="Arial" w:hAnsi="Arial" w:cs="Arial"/>
          <w:sz w:val="24"/>
          <w:szCs w:val="24"/>
          <w:lang w:eastAsia="sk-SK"/>
        </w:rPr>
        <w:t xml:space="preserve">ktoré boli </w:t>
      </w:r>
      <w:proofErr w:type="spellStart"/>
      <w:r w:rsidRPr="00DF088F">
        <w:rPr>
          <w:rFonts w:ascii="Arial" w:hAnsi="Arial" w:cs="Arial"/>
          <w:sz w:val="24"/>
          <w:szCs w:val="24"/>
          <w:lang w:eastAsia="sk-SK"/>
        </w:rPr>
        <w:t>releventnými</w:t>
      </w:r>
      <w:proofErr w:type="spellEnd"/>
      <w:r w:rsidRPr="00DF088F">
        <w:rPr>
          <w:rFonts w:ascii="Arial" w:hAnsi="Arial" w:cs="Arial"/>
          <w:sz w:val="24"/>
          <w:szCs w:val="24"/>
          <w:lang w:eastAsia="sk-SK"/>
        </w:rPr>
        <w:t xml:space="preserve"> dôkazmi vtedy, ak boli opatrené verejnou pečaťou. Ich falšovanie bolo prísne trestané. </w:t>
      </w:r>
      <w:r w:rsidRPr="00DF088F">
        <w:rPr>
          <w:rFonts w:ascii="Arial" w:hAnsi="Arial" w:cs="Arial"/>
          <w:i/>
          <w:sz w:val="24"/>
          <w:szCs w:val="24"/>
          <w:lang w:eastAsia="sk-SK"/>
        </w:rPr>
        <w:t xml:space="preserve">Svedecká výpoveď </w:t>
      </w:r>
      <w:r w:rsidRPr="00DF088F">
        <w:rPr>
          <w:rFonts w:ascii="Arial" w:hAnsi="Arial" w:cs="Arial"/>
          <w:sz w:val="24"/>
          <w:szCs w:val="24"/>
          <w:lang w:eastAsia="sk-SK"/>
        </w:rPr>
        <w:t xml:space="preserve">bola rovnako dôležitým dôkazom. Svedka bolo možné vypočuť počas prípravy pojednávania, kedy to bolo právom žalobcu, alebo počas procesu, kedy svedka vypočúval súd na návrh ktoréhokoľvek účastníka konania. V oboch prípadoch sa o výpovedi spisovala zápisnica. Do roku 1526 bola dôležitým dôkazným prostriedkom </w:t>
      </w:r>
      <w:r w:rsidRPr="00DF088F">
        <w:rPr>
          <w:rFonts w:ascii="Arial" w:hAnsi="Arial" w:cs="Arial"/>
          <w:i/>
          <w:sz w:val="24"/>
          <w:szCs w:val="24"/>
          <w:lang w:eastAsia="sk-SK"/>
        </w:rPr>
        <w:t xml:space="preserve">prísaha, </w:t>
      </w:r>
      <w:r w:rsidRPr="00DF088F">
        <w:rPr>
          <w:rFonts w:ascii="Arial" w:hAnsi="Arial" w:cs="Arial"/>
          <w:sz w:val="24"/>
          <w:szCs w:val="24"/>
          <w:lang w:eastAsia="sk-SK"/>
        </w:rPr>
        <w:t xml:space="preserve">ktorú museli skladať len účastníci konania, aj to len vtedy, keď boli zákonného veku. Prísaha bola </w:t>
      </w:r>
      <w:r w:rsidRPr="00DF088F">
        <w:rPr>
          <w:rFonts w:ascii="Arial" w:hAnsi="Arial" w:cs="Arial"/>
          <w:i/>
          <w:sz w:val="24"/>
          <w:szCs w:val="24"/>
          <w:lang w:eastAsia="sk-SK"/>
        </w:rPr>
        <w:t xml:space="preserve">predbežná a rozhodujúca. </w:t>
      </w:r>
      <w:r w:rsidRPr="00DF088F">
        <w:rPr>
          <w:rFonts w:ascii="Arial" w:hAnsi="Arial" w:cs="Arial"/>
          <w:sz w:val="24"/>
          <w:szCs w:val="24"/>
          <w:lang w:eastAsia="sk-SK"/>
        </w:rPr>
        <w:t xml:space="preserve">Predbežnú prísahu skladal podozrivý pri príprave sporu, rozhodujúca prísaha nahrádzala nedostatok dôkazov. </w:t>
      </w:r>
      <w:proofErr w:type="spellStart"/>
      <w:r w:rsidRPr="00DF088F">
        <w:rPr>
          <w:rFonts w:ascii="Arial" w:hAnsi="Arial" w:cs="Arial"/>
          <w:sz w:val="24"/>
          <w:szCs w:val="24"/>
          <w:lang w:eastAsia="sk-SK"/>
        </w:rPr>
        <w:t>Krivoprísažníci</w:t>
      </w:r>
      <w:proofErr w:type="spellEnd"/>
      <w:r w:rsidRPr="00DF088F">
        <w:rPr>
          <w:rFonts w:ascii="Arial" w:hAnsi="Arial" w:cs="Arial"/>
          <w:sz w:val="24"/>
          <w:szCs w:val="24"/>
          <w:lang w:eastAsia="sk-SK"/>
        </w:rPr>
        <w:t xml:space="preserve"> boli považovaní za infámnych a okrem iného strácali navždy procesnú spôsobilosť.</w:t>
      </w:r>
      <w:r w:rsidRPr="00DF088F">
        <w:rPr>
          <w:rFonts w:ascii="Arial" w:hAnsi="Arial" w:cs="Arial"/>
          <w:i/>
          <w:sz w:val="24"/>
          <w:szCs w:val="24"/>
          <w:lang w:eastAsia="sk-SK"/>
        </w:rPr>
        <w:t xml:space="preserve"> Súdna obhliadka </w:t>
      </w:r>
      <w:r w:rsidRPr="00DF088F">
        <w:rPr>
          <w:rFonts w:ascii="Arial" w:hAnsi="Arial" w:cs="Arial"/>
          <w:sz w:val="24"/>
          <w:szCs w:val="24"/>
          <w:lang w:eastAsia="sk-SK"/>
        </w:rPr>
        <w:t xml:space="preserve">bola obhliadkou veci alebo aj ľudského tela (aj živého človeka). Niekedy bola spôsobilá aj rozhodovať spory. </w:t>
      </w:r>
    </w:p>
    <w:p w14:paraId="2B8CFA52" w14:textId="77777777" w:rsidR="004778F7" w:rsidRPr="00DF088F" w:rsidRDefault="004778F7" w:rsidP="004778F7">
      <w:pPr>
        <w:spacing w:line="360" w:lineRule="auto"/>
        <w:contextualSpacing/>
        <w:jc w:val="both"/>
        <w:rPr>
          <w:rFonts w:ascii="Arial" w:hAnsi="Arial" w:cs="Arial"/>
          <w:sz w:val="24"/>
          <w:szCs w:val="24"/>
          <w:lang w:eastAsia="sk-SK"/>
        </w:rPr>
      </w:pPr>
      <w:r w:rsidRPr="00DF088F">
        <w:rPr>
          <w:rFonts w:ascii="Arial" w:hAnsi="Arial" w:cs="Arial"/>
          <w:sz w:val="24"/>
          <w:szCs w:val="24"/>
          <w:lang w:eastAsia="sk-SK"/>
        </w:rPr>
        <w:tab/>
      </w:r>
      <w:r w:rsidRPr="005215F4">
        <w:rPr>
          <w:rFonts w:ascii="Arial" w:hAnsi="Arial" w:cs="Arial"/>
          <w:bCs/>
          <w:i/>
          <w:sz w:val="24"/>
          <w:szCs w:val="24"/>
          <w:lang w:eastAsia="sk-SK"/>
        </w:rPr>
        <w:t>5. Vynesenie rozsudku.</w:t>
      </w:r>
      <w:r w:rsidRPr="00DF088F">
        <w:rPr>
          <w:rFonts w:ascii="Arial" w:hAnsi="Arial" w:cs="Arial"/>
          <w:b/>
          <w:i/>
          <w:sz w:val="24"/>
          <w:szCs w:val="24"/>
          <w:lang w:eastAsia="sk-SK"/>
        </w:rPr>
        <w:t xml:space="preserve"> </w:t>
      </w:r>
      <w:r w:rsidRPr="00DF088F">
        <w:rPr>
          <w:rFonts w:ascii="Arial" w:hAnsi="Arial" w:cs="Arial"/>
          <w:sz w:val="24"/>
          <w:szCs w:val="24"/>
          <w:lang w:eastAsia="sk-SK"/>
        </w:rPr>
        <w:t xml:space="preserve"> Je to záverečná fáza konania. Rozsudok bol spísaný, prečítaný a vysvetlený. Vykonateľný rozsudok musel byť vykonaný do jedného roka. </w:t>
      </w:r>
      <w:r w:rsidRPr="00DF088F">
        <w:rPr>
          <w:rFonts w:ascii="Arial" w:hAnsi="Arial" w:cs="Arial"/>
          <w:sz w:val="24"/>
          <w:szCs w:val="24"/>
          <w:lang w:eastAsia="sk-SK"/>
        </w:rPr>
        <w:lastRenderedPageBreak/>
        <w:t xml:space="preserve">Aj po vynesení rozsudku bolo možné uzavrieť zmier. Konanie sa mohlo skončiť aj odstúpením od sporu, keď žalobca svoju žalobu stiahol a zaplatil pokutu. </w:t>
      </w:r>
    </w:p>
    <w:p w14:paraId="5A6BDAF4" w14:textId="77777777" w:rsidR="004778F7" w:rsidRPr="00DF088F" w:rsidRDefault="004778F7" w:rsidP="004778F7">
      <w:pPr>
        <w:spacing w:line="360" w:lineRule="auto"/>
        <w:contextualSpacing/>
        <w:jc w:val="both"/>
        <w:rPr>
          <w:rFonts w:ascii="Arial" w:hAnsi="Arial" w:cs="Arial"/>
          <w:sz w:val="24"/>
          <w:szCs w:val="24"/>
          <w:lang w:eastAsia="sk-SK"/>
        </w:rPr>
      </w:pPr>
      <w:r w:rsidRPr="00DF088F">
        <w:rPr>
          <w:rFonts w:ascii="Arial" w:hAnsi="Arial" w:cs="Arial"/>
          <w:sz w:val="24"/>
          <w:szCs w:val="24"/>
          <w:lang w:eastAsia="sk-SK"/>
        </w:rPr>
        <w:tab/>
      </w:r>
      <w:r w:rsidRPr="005215F4">
        <w:rPr>
          <w:rFonts w:ascii="Arial" w:hAnsi="Arial" w:cs="Arial"/>
          <w:bCs/>
          <w:i/>
          <w:sz w:val="24"/>
          <w:szCs w:val="24"/>
          <w:lang w:eastAsia="sk-SK"/>
        </w:rPr>
        <w:t xml:space="preserve">6. Opravné prostriedky. </w:t>
      </w:r>
      <w:r w:rsidRPr="00DF088F">
        <w:rPr>
          <w:rFonts w:ascii="Arial" w:hAnsi="Arial" w:cs="Arial"/>
          <w:sz w:val="24"/>
          <w:szCs w:val="24"/>
          <w:lang w:eastAsia="sk-SK"/>
        </w:rPr>
        <w:t xml:space="preserve">V 13. storočí vzniklo </w:t>
      </w:r>
      <w:r w:rsidRPr="00DF088F">
        <w:rPr>
          <w:rFonts w:ascii="Arial" w:hAnsi="Arial" w:cs="Arial"/>
          <w:i/>
          <w:sz w:val="24"/>
          <w:szCs w:val="24"/>
          <w:lang w:eastAsia="sk-SK"/>
        </w:rPr>
        <w:t xml:space="preserve">odvolanie, </w:t>
      </w:r>
      <w:r w:rsidRPr="00DF088F">
        <w:rPr>
          <w:rFonts w:ascii="Arial" w:hAnsi="Arial" w:cs="Arial"/>
          <w:sz w:val="24"/>
          <w:szCs w:val="24"/>
          <w:lang w:eastAsia="sk-SK"/>
        </w:rPr>
        <w:t xml:space="preserve">ako riadny opravný prostriedok. V mestskom práve bolo možné odvolať sa k súdom materských miest, v šľachtickom práve ku kráľovi. Postupne vznikol v Uhorsku celý systém odvolacích súdov, o ktorých sme už pojednali vyššie. Osobitným opravným prostriedkom bolo </w:t>
      </w:r>
      <w:r w:rsidRPr="00DF088F">
        <w:rPr>
          <w:rFonts w:ascii="Arial" w:hAnsi="Arial" w:cs="Arial"/>
          <w:i/>
          <w:sz w:val="24"/>
          <w:szCs w:val="24"/>
          <w:lang w:eastAsia="sk-SK"/>
        </w:rPr>
        <w:t xml:space="preserve">odvolanie advokátovho slova. </w:t>
      </w:r>
      <w:r w:rsidRPr="00DF088F">
        <w:rPr>
          <w:rFonts w:ascii="Arial" w:hAnsi="Arial" w:cs="Arial"/>
          <w:sz w:val="24"/>
          <w:szCs w:val="24"/>
          <w:lang w:eastAsia="sk-SK"/>
        </w:rPr>
        <w:t xml:space="preserve">Žalobca mohol stiahnuť výrok svojho advokáta a žiadať nové pojednávanie. </w:t>
      </w:r>
      <w:r w:rsidRPr="00DF088F">
        <w:rPr>
          <w:rFonts w:ascii="Arial" w:hAnsi="Arial" w:cs="Arial"/>
          <w:i/>
          <w:sz w:val="24"/>
          <w:szCs w:val="24"/>
          <w:lang w:eastAsia="sk-SK"/>
        </w:rPr>
        <w:t xml:space="preserve">Obnova konania </w:t>
      </w:r>
      <w:r w:rsidRPr="00DF088F">
        <w:rPr>
          <w:rFonts w:ascii="Arial" w:hAnsi="Arial" w:cs="Arial"/>
          <w:sz w:val="24"/>
          <w:szCs w:val="24"/>
          <w:lang w:eastAsia="sk-SK"/>
        </w:rPr>
        <w:t>bola prípustná len na základe povolenia panovníka a vo výnimočnom prípade.</w:t>
      </w:r>
    </w:p>
    <w:p w14:paraId="76BBA132" w14:textId="77777777" w:rsidR="004778F7" w:rsidRPr="00DF088F" w:rsidRDefault="004778F7" w:rsidP="004778F7">
      <w:pPr>
        <w:spacing w:line="360" w:lineRule="auto"/>
        <w:contextualSpacing/>
        <w:jc w:val="both"/>
        <w:rPr>
          <w:rFonts w:ascii="Arial" w:hAnsi="Arial" w:cs="Arial"/>
          <w:sz w:val="24"/>
          <w:szCs w:val="24"/>
          <w:lang w:eastAsia="sk-SK"/>
        </w:rPr>
      </w:pPr>
      <w:r w:rsidRPr="00DF088F">
        <w:rPr>
          <w:rFonts w:ascii="Arial" w:hAnsi="Arial" w:cs="Arial"/>
          <w:sz w:val="24"/>
          <w:szCs w:val="24"/>
          <w:lang w:eastAsia="sk-SK"/>
        </w:rPr>
        <w:tab/>
      </w:r>
      <w:r w:rsidRPr="005215F4">
        <w:rPr>
          <w:rFonts w:ascii="Arial" w:hAnsi="Arial" w:cs="Arial"/>
          <w:bCs/>
          <w:i/>
          <w:sz w:val="24"/>
          <w:szCs w:val="24"/>
          <w:lang w:eastAsia="sk-SK"/>
        </w:rPr>
        <w:t>7. Výkon rozhodnutia.</w:t>
      </w:r>
      <w:r w:rsidRPr="00DF088F">
        <w:rPr>
          <w:rFonts w:ascii="Arial" w:hAnsi="Arial" w:cs="Arial"/>
          <w:b/>
          <w:i/>
          <w:sz w:val="24"/>
          <w:szCs w:val="24"/>
          <w:lang w:eastAsia="sk-SK"/>
        </w:rPr>
        <w:t xml:space="preserve"> </w:t>
      </w:r>
      <w:r w:rsidRPr="00DF088F">
        <w:rPr>
          <w:rFonts w:ascii="Arial" w:hAnsi="Arial" w:cs="Arial"/>
          <w:sz w:val="24"/>
          <w:szCs w:val="24"/>
          <w:lang w:eastAsia="sk-SK"/>
        </w:rPr>
        <w:t xml:space="preserve">Do 16. storočia bola exekúcia úlohou víťaznej strany. Potom boli jej výkonom v civilných veciach poverené hodnoverné miesta. Osobitným opravným prostriedkom proti exekúcií bola </w:t>
      </w:r>
      <w:proofErr w:type="spellStart"/>
      <w:r w:rsidRPr="00DF088F">
        <w:rPr>
          <w:rFonts w:ascii="Arial" w:hAnsi="Arial" w:cs="Arial"/>
          <w:i/>
          <w:sz w:val="24"/>
          <w:szCs w:val="24"/>
          <w:lang w:eastAsia="sk-SK"/>
        </w:rPr>
        <w:t>repulzia</w:t>
      </w:r>
      <w:proofErr w:type="spellEnd"/>
      <w:r w:rsidRPr="00DF088F">
        <w:rPr>
          <w:rFonts w:ascii="Arial" w:hAnsi="Arial" w:cs="Arial"/>
          <w:i/>
          <w:sz w:val="24"/>
          <w:szCs w:val="24"/>
          <w:lang w:eastAsia="sk-SK"/>
        </w:rPr>
        <w:t xml:space="preserve">. </w:t>
      </w:r>
      <w:r w:rsidRPr="00DF088F">
        <w:rPr>
          <w:rFonts w:ascii="Arial" w:hAnsi="Arial" w:cs="Arial"/>
          <w:sz w:val="24"/>
          <w:szCs w:val="24"/>
          <w:lang w:eastAsia="sk-SK"/>
        </w:rPr>
        <w:t xml:space="preserve">Mohla byť použitá proti rozsudku v pozemkovom spore, aj to len raz. Išlo o demonštrovanie sily vytasením meča alebo inej zbrane, ktorým bolo zabránené výkonu rozhodnutia. Dôvody </w:t>
      </w:r>
      <w:proofErr w:type="spellStart"/>
      <w:r w:rsidRPr="00DF088F">
        <w:rPr>
          <w:rFonts w:ascii="Arial" w:hAnsi="Arial" w:cs="Arial"/>
          <w:sz w:val="24"/>
          <w:szCs w:val="24"/>
          <w:lang w:eastAsia="sk-SK"/>
        </w:rPr>
        <w:t>repulzie</w:t>
      </w:r>
      <w:proofErr w:type="spellEnd"/>
      <w:r w:rsidRPr="00DF088F">
        <w:rPr>
          <w:rFonts w:ascii="Arial" w:hAnsi="Arial" w:cs="Arial"/>
          <w:sz w:val="24"/>
          <w:szCs w:val="24"/>
          <w:lang w:eastAsia="sk-SK"/>
        </w:rPr>
        <w:t xml:space="preserve"> museli byť oznámené súdu. Dôvod musel byť právneho charakteru. Opakovaný pokus účastníka konania o </w:t>
      </w:r>
      <w:proofErr w:type="spellStart"/>
      <w:r w:rsidRPr="00DF088F">
        <w:rPr>
          <w:rFonts w:ascii="Arial" w:hAnsi="Arial" w:cs="Arial"/>
          <w:sz w:val="24"/>
          <w:szCs w:val="24"/>
          <w:lang w:eastAsia="sk-SK"/>
        </w:rPr>
        <w:t>repulziu</w:t>
      </w:r>
      <w:proofErr w:type="spellEnd"/>
      <w:r w:rsidRPr="00DF088F">
        <w:rPr>
          <w:rFonts w:ascii="Arial" w:hAnsi="Arial" w:cs="Arial"/>
          <w:sz w:val="24"/>
          <w:szCs w:val="24"/>
          <w:lang w:eastAsia="sk-SK"/>
        </w:rPr>
        <w:t xml:space="preserve"> bol považovaný za feudálnu neveru.</w:t>
      </w:r>
      <w:r w:rsidRPr="00DF088F">
        <w:rPr>
          <w:rFonts w:ascii="Arial" w:hAnsi="Arial" w:cs="Arial"/>
          <w:sz w:val="24"/>
          <w:szCs w:val="24"/>
          <w:lang w:eastAsia="sk-SK"/>
        </w:rPr>
        <w:tab/>
        <w:t xml:space="preserve"> </w:t>
      </w:r>
    </w:p>
    <w:p w14:paraId="0D67F0E6" w14:textId="5AE2DB23" w:rsidR="004778F7" w:rsidRDefault="004778F7"/>
    <w:p w14:paraId="4BFDB830" w14:textId="77777777" w:rsidR="005215F4" w:rsidRDefault="005215F4"/>
    <w:sectPr w:rsidR="005215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8F7"/>
    <w:rsid w:val="00366146"/>
    <w:rsid w:val="004778F7"/>
    <w:rsid w:val="005215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1E2C3"/>
  <w15:chartTrackingRefBased/>
  <w15:docId w15:val="{E63BC114-23C6-4859-9510-73867A111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4778F7"/>
    <w:pPr>
      <w:spacing w:after="200" w:line="276" w:lineRule="auto"/>
    </w:pPr>
    <w:rPr>
      <w:rFonts w:ascii="Calibri" w:eastAsia="Calibri" w:hAnsi="Calibri" w:cs="Times New Roman"/>
    </w:rPr>
  </w:style>
  <w:style w:type="paragraph" w:styleId="Nadpis3">
    <w:name w:val="heading 3"/>
    <w:basedOn w:val="Normlny"/>
    <w:next w:val="Normlny"/>
    <w:link w:val="Nadpis3Char"/>
    <w:qFormat/>
    <w:rsid w:val="004778F7"/>
    <w:pPr>
      <w:keepNext/>
      <w:spacing w:before="240" w:after="60" w:line="240" w:lineRule="auto"/>
      <w:outlineLvl w:val="2"/>
    </w:pPr>
    <w:rPr>
      <w:rFonts w:ascii="Arial" w:hAnsi="Arial"/>
      <w:b/>
      <w:bCs/>
      <w:sz w:val="26"/>
      <w:szCs w:val="26"/>
      <w:lang w:eastAsia="sk-SK"/>
    </w:rPr>
  </w:style>
  <w:style w:type="paragraph" w:styleId="Nadpis4">
    <w:name w:val="heading 4"/>
    <w:basedOn w:val="Normlny"/>
    <w:next w:val="Normlny"/>
    <w:link w:val="Nadpis4Char"/>
    <w:uiPriority w:val="9"/>
    <w:semiHidden/>
    <w:unhideWhenUsed/>
    <w:qFormat/>
    <w:rsid w:val="004778F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3Char">
    <w:name w:val="Nadpis 3 Char"/>
    <w:basedOn w:val="Predvolenpsmoodseku"/>
    <w:link w:val="Nadpis3"/>
    <w:rsid w:val="004778F7"/>
    <w:rPr>
      <w:rFonts w:ascii="Arial" w:eastAsia="Calibri" w:hAnsi="Arial" w:cs="Times New Roman"/>
      <w:b/>
      <w:bCs/>
      <w:sz w:val="26"/>
      <w:szCs w:val="26"/>
      <w:lang w:eastAsia="sk-SK"/>
    </w:rPr>
  </w:style>
  <w:style w:type="character" w:customStyle="1" w:styleId="Nadpis4Char">
    <w:name w:val="Nadpis 4 Char"/>
    <w:basedOn w:val="Predvolenpsmoodseku"/>
    <w:link w:val="Nadpis4"/>
    <w:uiPriority w:val="9"/>
    <w:semiHidden/>
    <w:rsid w:val="004778F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1088</Words>
  <Characters>6202</Characters>
  <Application>Microsoft Office Word</Application>
  <DocSecurity>0</DocSecurity>
  <Lines>51</Lines>
  <Paragraphs>14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Štenpien</dc:creator>
  <cp:keywords/>
  <dc:description/>
  <cp:lastModifiedBy>Erik Štenpien</cp:lastModifiedBy>
  <cp:revision>1</cp:revision>
  <dcterms:created xsi:type="dcterms:W3CDTF">2020-03-24T15:09:00Z</dcterms:created>
  <dcterms:modified xsi:type="dcterms:W3CDTF">2020-03-24T15:28:00Z</dcterms:modified>
</cp:coreProperties>
</file>