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44C9" w:rsidRDefault="00E644C9" w:rsidP="00E644C9">
      <w:pPr>
        <w:spacing w:line="36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 určovaní ceny veci:</w:t>
      </w:r>
    </w:p>
    <w:p w:rsidR="00E644C9" w:rsidRDefault="00E644C9" w:rsidP="00E644C9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E644C9" w:rsidRDefault="00E644C9" w:rsidP="00E644C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Uhorské šľachtické obyčajové právo nepoužívalo pojem "cena", ale operovalo s pojmom "hodnota". </w:t>
      </w:r>
    </w:p>
    <w:p w:rsidR="00E644C9" w:rsidRDefault="00E644C9" w:rsidP="00E644C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>Pravá hodnota (</w:t>
      </w:r>
      <w:proofErr w:type="spellStart"/>
      <w:r>
        <w:rPr>
          <w:rFonts w:ascii="Arial" w:hAnsi="Arial" w:cs="Arial"/>
          <w:i/>
          <w:sz w:val="24"/>
          <w:szCs w:val="24"/>
        </w:rPr>
        <w:t>aestimatio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condigna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bola cenou, za ktorú bolo možné určitú vec kúpiť a predať. Táto cena sa mohla meniť v závislosti od miesta a času. </w:t>
      </w:r>
      <w:r>
        <w:rPr>
          <w:rFonts w:ascii="Arial" w:hAnsi="Arial" w:cs="Arial"/>
          <w:i/>
          <w:sz w:val="24"/>
          <w:szCs w:val="24"/>
        </w:rPr>
        <w:t>Všeobecná hodnota (</w:t>
      </w:r>
      <w:proofErr w:type="spellStart"/>
      <w:r>
        <w:rPr>
          <w:rFonts w:ascii="Arial" w:hAnsi="Arial" w:cs="Arial"/>
          <w:i/>
          <w:sz w:val="24"/>
          <w:szCs w:val="24"/>
        </w:rPr>
        <w:t>aestimatio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communis)</w:t>
      </w:r>
      <w:r>
        <w:rPr>
          <w:rStyle w:val="Odkaznapoznmkupodiarou"/>
          <w:rFonts w:cs="Arial"/>
          <w:i/>
          <w:sz w:val="24"/>
          <w:szCs w:val="24"/>
        </w:rPr>
        <w:footnoteReference w:id="1"/>
      </w:r>
      <w:r>
        <w:rPr>
          <w:rFonts w:ascii="Arial" w:hAnsi="Arial" w:cs="Arial"/>
          <w:sz w:val="24"/>
          <w:szCs w:val="24"/>
        </w:rPr>
        <w:t xml:space="preserve"> bola cena ustálená obyčajovým právom a zásadne nemenná. V Uhorsku takto boli určené ceny v Tripartite a niektorých zákonných článkoch pred ním</w:t>
      </w:r>
      <w:r>
        <w:rPr>
          <w:rStyle w:val="Odkaznapoznmkupodiarou"/>
          <w:rFonts w:cs="Arial"/>
          <w:sz w:val="24"/>
          <w:szCs w:val="24"/>
        </w:rPr>
        <w:footnoteReference w:id="2"/>
      </w:r>
      <w:r>
        <w:rPr>
          <w:rFonts w:ascii="Arial" w:hAnsi="Arial" w:cs="Arial"/>
          <w:sz w:val="24"/>
          <w:szCs w:val="24"/>
        </w:rPr>
        <w:t>. Logicky teda vyplýva, že všeobecná hodnota musela byť cenou nižšou. Záväznou nebola vždy, len v nasledovných prípadoch:</w:t>
      </w:r>
    </w:p>
    <w:p w:rsidR="00E644C9" w:rsidRDefault="00E644C9" w:rsidP="00E644C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pri platení súdnych pokút (</w:t>
      </w:r>
      <w:proofErr w:type="spellStart"/>
      <w:r>
        <w:rPr>
          <w:rFonts w:ascii="Arial" w:hAnsi="Arial" w:cs="Arial"/>
          <w:sz w:val="24"/>
          <w:szCs w:val="24"/>
        </w:rPr>
        <w:t>birsagium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Style w:val="Odkaznapoznmkupodiarou"/>
          <w:rFonts w:cs="Arial"/>
          <w:sz w:val="24"/>
          <w:szCs w:val="24"/>
        </w:rPr>
        <w:footnoteReference w:id="3"/>
      </w:r>
      <w:r>
        <w:rPr>
          <w:rFonts w:ascii="Arial" w:hAnsi="Arial" w:cs="Arial"/>
          <w:sz w:val="24"/>
          <w:szCs w:val="24"/>
        </w:rPr>
        <w:t>;</w:t>
      </w:r>
    </w:p>
    <w:p w:rsidR="00E644C9" w:rsidRDefault="00E644C9" w:rsidP="00E644C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pri náhradách škody  a súkromnoprávnych pokutách</w:t>
      </w:r>
      <w:r>
        <w:rPr>
          <w:rStyle w:val="Odkaznapoznmkupodiarou"/>
          <w:rFonts w:cs="Arial"/>
          <w:sz w:val="24"/>
          <w:szCs w:val="24"/>
        </w:rPr>
        <w:footnoteReference w:id="4"/>
      </w:r>
      <w:r>
        <w:rPr>
          <w:rFonts w:ascii="Arial" w:hAnsi="Arial" w:cs="Arial"/>
          <w:sz w:val="24"/>
          <w:szCs w:val="24"/>
        </w:rPr>
        <w:t>;</w:t>
      </w:r>
    </w:p>
    <w:p w:rsidR="00E644C9" w:rsidRDefault="00E644C9" w:rsidP="00E644C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pri väčších násilnostiach ak žalovaný zomrel po začatí konania</w:t>
      </w:r>
      <w:r>
        <w:rPr>
          <w:rStyle w:val="Odkaznapoznmkupodiarou"/>
          <w:rFonts w:cs="Arial"/>
          <w:sz w:val="24"/>
          <w:szCs w:val="24"/>
        </w:rPr>
        <w:footnoteReference w:id="5"/>
      </w:r>
      <w:r>
        <w:rPr>
          <w:rFonts w:ascii="Arial" w:hAnsi="Arial" w:cs="Arial"/>
          <w:sz w:val="24"/>
          <w:szCs w:val="24"/>
        </w:rPr>
        <w:t>;</w:t>
      </w:r>
    </w:p>
    <w:p w:rsidR="00E644C9" w:rsidRDefault="00E644C9" w:rsidP="00E644C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ak si niekto vyžiadal </w:t>
      </w:r>
      <w:proofErr w:type="spellStart"/>
      <w:r>
        <w:rPr>
          <w:rFonts w:ascii="Arial" w:hAnsi="Arial" w:cs="Arial"/>
          <w:sz w:val="24"/>
          <w:szCs w:val="24"/>
        </w:rPr>
        <w:t>nedevolvovaný</w:t>
      </w:r>
      <w:proofErr w:type="spellEnd"/>
      <w:r>
        <w:rPr>
          <w:rFonts w:ascii="Arial" w:hAnsi="Arial" w:cs="Arial"/>
          <w:sz w:val="24"/>
          <w:szCs w:val="24"/>
        </w:rPr>
        <w:t xml:space="preserve"> donačný majetok</w:t>
      </w:r>
      <w:r>
        <w:rPr>
          <w:rStyle w:val="Odkaznapoznmkupodiarou"/>
          <w:rFonts w:cs="Arial"/>
          <w:sz w:val="24"/>
          <w:szCs w:val="24"/>
        </w:rPr>
        <w:footnoteReference w:id="6"/>
      </w:r>
      <w:r>
        <w:rPr>
          <w:rFonts w:ascii="Arial" w:hAnsi="Arial" w:cs="Arial"/>
          <w:sz w:val="24"/>
          <w:szCs w:val="24"/>
        </w:rPr>
        <w:t>;</w:t>
      </w:r>
    </w:p>
    <w:p w:rsidR="00E644C9" w:rsidRDefault="00E644C9" w:rsidP="00E644C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ak </w:t>
      </w:r>
      <w:proofErr w:type="spellStart"/>
      <w:r>
        <w:rPr>
          <w:rFonts w:ascii="Arial" w:hAnsi="Arial" w:cs="Arial"/>
          <w:sz w:val="24"/>
          <w:szCs w:val="24"/>
        </w:rPr>
        <w:t>donatár</w:t>
      </w:r>
      <w:proofErr w:type="spellEnd"/>
      <w:r>
        <w:rPr>
          <w:rFonts w:ascii="Arial" w:hAnsi="Arial" w:cs="Arial"/>
          <w:sz w:val="24"/>
          <w:szCs w:val="24"/>
        </w:rPr>
        <w:t xml:space="preserve"> bez ohľadu na to, že niekto obsadenie majetku napadol, zaujal donačný majetok</w:t>
      </w:r>
      <w:r>
        <w:rPr>
          <w:rStyle w:val="Odkaznapoznmkupodiarou"/>
          <w:rFonts w:cs="Arial"/>
          <w:sz w:val="24"/>
          <w:szCs w:val="24"/>
        </w:rPr>
        <w:footnoteReference w:id="7"/>
      </w:r>
      <w:r>
        <w:rPr>
          <w:rFonts w:ascii="Arial" w:hAnsi="Arial" w:cs="Arial"/>
          <w:sz w:val="24"/>
          <w:szCs w:val="24"/>
        </w:rPr>
        <w:t>;</w:t>
      </w:r>
    </w:p>
    <w:p w:rsidR="00E644C9" w:rsidRDefault="00E644C9" w:rsidP="00E644C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pri výkupe majetkov exekvovaných na základe rozsudku smrti alebo plnenia </w:t>
      </w:r>
      <w:proofErr w:type="spellStart"/>
      <w:r>
        <w:rPr>
          <w:rFonts w:ascii="Arial" w:hAnsi="Arial" w:cs="Arial"/>
          <w:sz w:val="24"/>
          <w:szCs w:val="24"/>
        </w:rPr>
        <w:t>hommagia</w:t>
      </w:r>
      <w:proofErr w:type="spellEnd"/>
      <w:r>
        <w:rPr>
          <w:rStyle w:val="Odkaznapoznmkupodiarou"/>
          <w:rFonts w:cs="Arial"/>
          <w:sz w:val="24"/>
          <w:szCs w:val="24"/>
        </w:rPr>
        <w:footnoteReference w:id="8"/>
      </w:r>
      <w:r>
        <w:rPr>
          <w:rFonts w:ascii="Arial" w:hAnsi="Arial" w:cs="Arial"/>
          <w:sz w:val="24"/>
          <w:szCs w:val="24"/>
        </w:rPr>
        <w:t>;</w:t>
      </w:r>
    </w:p>
    <w:p w:rsidR="00E644C9" w:rsidRDefault="00E644C9" w:rsidP="00E644C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pri vyplácaní dievčenskej štvrtiny</w:t>
      </w:r>
      <w:r>
        <w:rPr>
          <w:rStyle w:val="Odkaznapoznmkupodiarou"/>
          <w:rFonts w:cs="Arial"/>
          <w:sz w:val="24"/>
          <w:szCs w:val="24"/>
        </w:rPr>
        <w:footnoteReference w:id="9"/>
      </w:r>
      <w:r>
        <w:rPr>
          <w:rFonts w:ascii="Arial" w:hAnsi="Arial" w:cs="Arial"/>
          <w:sz w:val="24"/>
          <w:szCs w:val="24"/>
        </w:rPr>
        <w:t>;</w:t>
      </w:r>
    </w:p>
    <w:p w:rsidR="00E644C9" w:rsidRDefault="00E644C9" w:rsidP="00E644C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pri vyplácaní </w:t>
      </w:r>
      <w:proofErr w:type="spellStart"/>
      <w:r>
        <w:rPr>
          <w:rFonts w:ascii="Arial" w:hAnsi="Arial" w:cs="Arial"/>
          <w:sz w:val="24"/>
          <w:szCs w:val="24"/>
        </w:rPr>
        <w:t>obvenenia</w:t>
      </w:r>
      <w:proofErr w:type="spellEnd"/>
      <w:r>
        <w:rPr>
          <w:rStyle w:val="Odkaznapoznmkupodiarou"/>
          <w:rFonts w:cs="Arial"/>
          <w:sz w:val="24"/>
          <w:szCs w:val="24"/>
        </w:rPr>
        <w:footnoteReference w:id="10"/>
      </w:r>
      <w:r>
        <w:rPr>
          <w:rFonts w:ascii="Arial" w:hAnsi="Arial" w:cs="Arial"/>
          <w:sz w:val="24"/>
          <w:szCs w:val="24"/>
        </w:rPr>
        <w:t>;</w:t>
      </w:r>
    </w:p>
    <w:p w:rsidR="00E644C9" w:rsidRDefault="00E644C9" w:rsidP="00E644C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pri kúpnej zmluve v prípade predaja časti rodinného </w:t>
      </w:r>
      <w:proofErr w:type="spellStart"/>
      <w:r>
        <w:rPr>
          <w:rFonts w:ascii="Arial" w:hAnsi="Arial" w:cs="Arial"/>
          <w:sz w:val="24"/>
          <w:szCs w:val="24"/>
        </w:rPr>
        <w:t>nedielu</w:t>
      </w:r>
      <w:proofErr w:type="spellEnd"/>
      <w:r>
        <w:rPr>
          <w:rFonts w:ascii="Arial" w:hAnsi="Arial" w:cs="Arial"/>
          <w:sz w:val="24"/>
          <w:szCs w:val="24"/>
        </w:rPr>
        <w:t xml:space="preserve"> bez správneho dôvodu na základe práva príbuzného na vrátenie ceny predaného podielu</w:t>
      </w:r>
      <w:r>
        <w:rPr>
          <w:rStyle w:val="Odkaznapoznmkupodiarou"/>
          <w:rFonts w:cs="Arial"/>
          <w:sz w:val="24"/>
          <w:szCs w:val="24"/>
        </w:rPr>
        <w:footnoteReference w:id="11"/>
      </w:r>
      <w:r>
        <w:rPr>
          <w:rFonts w:ascii="Arial" w:hAnsi="Arial" w:cs="Arial"/>
          <w:sz w:val="24"/>
          <w:szCs w:val="24"/>
        </w:rPr>
        <w:t>.</w:t>
      </w:r>
    </w:p>
    <w:p w:rsidR="00E644C9" w:rsidRDefault="00E644C9" w:rsidP="00E644C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Vidíme teda, že všeobecná hodnota majetku sa v prípade uzavretia kúpnej zmluvy mohla uplatniť len v dvoch prípadoch. V oboch prípadoch ide o scudzenie šľachtických pozemkov a všeobecná hodnota tu plní akúsi poistku toho, aby majetok ostal v rodine.</w:t>
      </w:r>
    </w:p>
    <w:p w:rsidR="00E644C9" w:rsidRDefault="00E644C9" w:rsidP="00E644C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Tretím typom ceny je </w:t>
      </w:r>
      <w:r>
        <w:rPr>
          <w:rFonts w:ascii="Arial" w:hAnsi="Arial" w:cs="Arial"/>
          <w:i/>
          <w:sz w:val="24"/>
          <w:szCs w:val="24"/>
        </w:rPr>
        <w:t>večná hodnota (</w:t>
      </w:r>
      <w:proofErr w:type="spellStart"/>
      <w:r>
        <w:rPr>
          <w:rFonts w:ascii="Arial" w:hAnsi="Arial" w:cs="Arial"/>
          <w:i/>
          <w:sz w:val="24"/>
          <w:szCs w:val="24"/>
        </w:rPr>
        <w:t>aestimatio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perrennalis</w:t>
      </w:r>
      <w:proofErr w:type="spellEnd"/>
      <w:r>
        <w:rPr>
          <w:rFonts w:ascii="Arial" w:hAnsi="Arial" w:cs="Arial"/>
          <w:i/>
          <w:sz w:val="24"/>
          <w:szCs w:val="24"/>
        </w:rPr>
        <w:t>)</w:t>
      </w:r>
      <w:r>
        <w:rPr>
          <w:rStyle w:val="Odkaznapoznmkupodiarou"/>
          <w:rFonts w:cs="Arial"/>
          <w:i/>
          <w:sz w:val="24"/>
          <w:szCs w:val="24"/>
        </w:rPr>
        <w:footnoteReference w:id="12"/>
      </w:r>
      <w:r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Toto ocenenie sa využívalo len pri nehnuteľnostiach, ak sa zmluvné strany dohodli na jej použití</w:t>
      </w:r>
      <w:r>
        <w:rPr>
          <w:rStyle w:val="Odkaznapoznmkupodiarou"/>
          <w:rFonts w:cs="Arial"/>
          <w:sz w:val="24"/>
          <w:szCs w:val="24"/>
        </w:rPr>
        <w:footnoteReference w:id="13"/>
      </w:r>
      <w:r>
        <w:rPr>
          <w:rFonts w:ascii="Arial" w:hAnsi="Arial" w:cs="Arial"/>
          <w:sz w:val="24"/>
          <w:szCs w:val="24"/>
        </w:rPr>
        <w:t>, alebo ak to ustanovil zákon alebo obyčaj pre prípady zaplatenia pokuty za protiprávne nadobudnutie vlastníctva k cudziemu majetku</w:t>
      </w:r>
      <w:r>
        <w:rPr>
          <w:rStyle w:val="Odkaznapoznmkupodiarou"/>
          <w:rFonts w:cs="Arial"/>
          <w:sz w:val="24"/>
          <w:szCs w:val="24"/>
        </w:rPr>
        <w:footnoteReference w:id="14"/>
      </w:r>
      <w:r>
        <w:rPr>
          <w:rFonts w:ascii="Arial" w:hAnsi="Arial" w:cs="Arial"/>
          <w:sz w:val="24"/>
          <w:szCs w:val="24"/>
        </w:rPr>
        <w:t xml:space="preserve">. Naopak pri hnuteľnostiach Tripartitum pozná tzv. </w:t>
      </w:r>
      <w:r>
        <w:rPr>
          <w:rFonts w:ascii="Arial" w:hAnsi="Arial" w:cs="Arial"/>
          <w:i/>
          <w:sz w:val="24"/>
          <w:szCs w:val="24"/>
        </w:rPr>
        <w:t>trhovú hodnotu (</w:t>
      </w:r>
      <w:proofErr w:type="spellStart"/>
      <w:r>
        <w:rPr>
          <w:rFonts w:ascii="Arial" w:hAnsi="Arial" w:cs="Arial"/>
          <w:i/>
          <w:sz w:val="24"/>
          <w:szCs w:val="24"/>
        </w:rPr>
        <w:t>valor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competens</w:t>
      </w:r>
      <w:proofErr w:type="spellEnd"/>
      <w:r>
        <w:rPr>
          <w:rFonts w:ascii="Arial" w:hAnsi="Arial" w:cs="Arial"/>
          <w:i/>
          <w:sz w:val="24"/>
          <w:szCs w:val="24"/>
        </w:rPr>
        <w:t>)</w:t>
      </w:r>
      <w:r>
        <w:rPr>
          <w:rStyle w:val="Odkaznapoznmkupodiarou"/>
          <w:rFonts w:cs="Arial"/>
          <w:i/>
          <w:sz w:val="24"/>
          <w:szCs w:val="24"/>
        </w:rPr>
        <w:footnoteReference w:id="15"/>
      </w:r>
      <w:r>
        <w:rPr>
          <w:rFonts w:ascii="Arial" w:hAnsi="Arial" w:cs="Arial"/>
          <w:i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Táto cena bola predchodcom tzv. </w:t>
      </w:r>
      <w:r>
        <w:rPr>
          <w:rFonts w:ascii="Arial" w:hAnsi="Arial" w:cs="Arial"/>
          <w:i/>
          <w:sz w:val="24"/>
          <w:szCs w:val="24"/>
        </w:rPr>
        <w:t>hodnoty primeranej (</w:t>
      </w:r>
      <w:proofErr w:type="spellStart"/>
      <w:r>
        <w:rPr>
          <w:rFonts w:ascii="Arial" w:hAnsi="Arial" w:cs="Arial"/>
          <w:i/>
          <w:sz w:val="24"/>
          <w:szCs w:val="24"/>
        </w:rPr>
        <w:t>aestimatio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iusta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 xml:space="preserve">ktorú zaviedlo definitívne až právo v 18. storočí. Po zavedení tohto typu ceny sa prestala používať hodnota pravá i všeobecná, zachovala sa však hodnota večná. </w:t>
      </w:r>
    </w:p>
    <w:p w:rsidR="00E644C9" w:rsidRDefault="00E644C9" w:rsidP="00E644C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Okrem týchto spôsobov ohodnocovania poznalo feudálne šľachtické právo ešte </w:t>
      </w:r>
      <w:r>
        <w:rPr>
          <w:rFonts w:ascii="Arial" w:hAnsi="Arial" w:cs="Arial"/>
          <w:i/>
          <w:sz w:val="24"/>
          <w:szCs w:val="24"/>
        </w:rPr>
        <w:t>subjektívnu hodnotu (</w:t>
      </w:r>
      <w:proofErr w:type="spellStart"/>
      <w:r>
        <w:rPr>
          <w:rFonts w:ascii="Arial" w:hAnsi="Arial" w:cs="Arial"/>
          <w:i/>
          <w:sz w:val="24"/>
          <w:szCs w:val="24"/>
        </w:rPr>
        <w:t>interesse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singulare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ratione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utilitatis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sz w:val="24"/>
          <w:szCs w:val="24"/>
        </w:rPr>
        <w:t>specialis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rei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aestimatio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 xml:space="preserve">ktorú mala vec pre určitú osobu vzhľadom na osobné okolnosti týkajúce sa pomeru osoby k veci; a tzv. </w:t>
      </w:r>
      <w:r>
        <w:rPr>
          <w:rFonts w:ascii="Arial" w:hAnsi="Arial" w:cs="Arial"/>
          <w:i/>
          <w:sz w:val="24"/>
          <w:szCs w:val="24"/>
        </w:rPr>
        <w:t>hodnotu obľuby (</w:t>
      </w:r>
      <w:proofErr w:type="spellStart"/>
      <w:r>
        <w:rPr>
          <w:rFonts w:ascii="Arial" w:hAnsi="Arial" w:cs="Arial"/>
          <w:i/>
          <w:sz w:val="24"/>
          <w:szCs w:val="24"/>
        </w:rPr>
        <w:t>pretium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affectionis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sz w:val="24"/>
          <w:szCs w:val="24"/>
        </w:rPr>
        <w:t>interesse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singulare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ratione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affectionis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 xml:space="preserve">ktorú mala vec pre určitú osobu len z dôvodu osobnej náklonnosti. </w:t>
      </w:r>
    </w:p>
    <w:p w:rsidR="00E644C9" w:rsidRPr="0068280B" w:rsidRDefault="00E644C9" w:rsidP="00E644C9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:rsidR="00A86F71" w:rsidRDefault="00A86F71"/>
    <w:sectPr w:rsidR="00A86F71" w:rsidSect="0038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556A" w:rsidRDefault="0035556A" w:rsidP="00E644C9">
      <w:pPr>
        <w:spacing w:after="0" w:line="240" w:lineRule="auto"/>
      </w:pPr>
      <w:r>
        <w:separator/>
      </w:r>
    </w:p>
  </w:endnote>
  <w:endnote w:type="continuationSeparator" w:id="0">
    <w:p w:rsidR="0035556A" w:rsidRDefault="0035556A" w:rsidP="00E6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556A" w:rsidRDefault="0035556A" w:rsidP="00E644C9">
      <w:pPr>
        <w:spacing w:after="0" w:line="240" w:lineRule="auto"/>
      </w:pPr>
      <w:r>
        <w:separator/>
      </w:r>
    </w:p>
  </w:footnote>
  <w:footnote w:type="continuationSeparator" w:id="0">
    <w:p w:rsidR="0035556A" w:rsidRDefault="0035556A" w:rsidP="00E644C9">
      <w:pPr>
        <w:spacing w:after="0" w:line="240" w:lineRule="auto"/>
      </w:pPr>
      <w:r>
        <w:continuationSeparator/>
      </w:r>
    </w:p>
  </w:footnote>
  <w:footnote w:id="1">
    <w:p w:rsidR="00E644C9" w:rsidRDefault="00E644C9" w:rsidP="00E644C9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Tripartitum</w:t>
      </w:r>
      <w:proofErr w:type="spellEnd"/>
      <w:r>
        <w:t>, I/134 § 3 a 5.</w:t>
      </w:r>
    </w:p>
  </w:footnote>
  <w:footnote w:id="2">
    <w:p w:rsidR="00E644C9" w:rsidRDefault="00E644C9" w:rsidP="00E644C9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Tripartitum</w:t>
      </w:r>
      <w:proofErr w:type="spellEnd"/>
      <w:r>
        <w:t xml:space="preserve">, I/133. </w:t>
      </w:r>
    </w:p>
  </w:footnote>
  <w:footnote w:id="3">
    <w:p w:rsidR="00E644C9" w:rsidRDefault="00E644C9" w:rsidP="00E644C9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Tripartitum</w:t>
      </w:r>
      <w:proofErr w:type="spellEnd"/>
      <w:r>
        <w:t>, I/134, § 1.</w:t>
      </w:r>
    </w:p>
  </w:footnote>
  <w:footnote w:id="4">
    <w:p w:rsidR="00E644C9" w:rsidRDefault="00E644C9" w:rsidP="00E644C9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Tamtiež</w:t>
      </w:r>
      <w:proofErr w:type="spellEnd"/>
      <w:r>
        <w:t>.</w:t>
      </w:r>
    </w:p>
  </w:footnote>
  <w:footnote w:id="5">
    <w:p w:rsidR="00E644C9" w:rsidRDefault="00E644C9" w:rsidP="00E644C9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Tripartitum</w:t>
      </w:r>
      <w:proofErr w:type="spellEnd"/>
      <w:r>
        <w:t>, II/61.</w:t>
      </w:r>
    </w:p>
  </w:footnote>
  <w:footnote w:id="6">
    <w:p w:rsidR="00E644C9" w:rsidRDefault="00E644C9" w:rsidP="00E644C9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Zák. čl. 24/1439, 11/1464, 62/1492.</w:t>
      </w:r>
    </w:p>
  </w:footnote>
  <w:footnote w:id="7">
    <w:p w:rsidR="00E644C9" w:rsidRDefault="00E644C9" w:rsidP="00E644C9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Zák. čl. 22/1486, 59/1492.</w:t>
      </w:r>
    </w:p>
  </w:footnote>
  <w:footnote w:id="8">
    <w:p w:rsidR="00E644C9" w:rsidRDefault="00E644C9" w:rsidP="00E644C9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Tripartitum</w:t>
      </w:r>
      <w:proofErr w:type="spellEnd"/>
      <w:r>
        <w:t>, II/43, § 1.</w:t>
      </w:r>
    </w:p>
  </w:footnote>
  <w:footnote w:id="9">
    <w:p w:rsidR="00E644C9" w:rsidRDefault="00E644C9" w:rsidP="00E644C9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Tripartitum</w:t>
      </w:r>
      <w:proofErr w:type="spellEnd"/>
      <w:r>
        <w:t>, I/134, § 2.</w:t>
      </w:r>
    </w:p>
  </w:footnote>
  <w:footnote w:id="10">
    <w:p w:rsidR="00E644C9" w:rsidRDefault="00E644C9" w:rsidP="00E644C9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Tripartitum</w:t>
      </w:r>
      <w:proofErr w:type="spellEnd"/>
      <w:r>
        <w:t xml:space="preserve"> I/134, § 3.</w:t>
      </w:r>
    </w:p>
  </w:footnote>
  <w:footnote w:id="11">
    <w:p w:rsidR="00E644C9" w:rsidRDefault="00E644C9" w:rsidP="00E644C9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Tripartitum</w:t>
      </w:r>
      <w:proofErr w:type="spellEnd"/>
      <w:r>
        <w:t>, I/61.</w:t>
      </w:r>
    </w:p>
  </w:footnote>
  <w:footnote w:id="12">
    <w:p w:rsidR="00E644C9" w:rsidRDefault="00E644C9" w:rsidP="00E644C9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Tripartitum</w:t>
      </w:r>
      <w:proofErr w:type="spellEnd"/>
      <w:r>
        <w:t xml:space="preserve">, I/133, § </w:t>
      </w:r>
      <w:proofErr w:type="gramStart"/>
      <w:r>
        <w:t>3 - 5</w:t>
      </w:r>
      <w:proofErr w:type="gramEnd"/>
      <w:r>
        <w:t>.</w:t>
      </w:r>
    </w:p>
  </w:footnote>
  <w:footnote w:id="13">
    <w:p w:rsidR="00E644C9" w:rsidRDefault="00E644C9" w:rsidP="00E644C9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Tripartitum</w:t>
      </w:r>
      <w:proofErr w:type="spellEnd"/>
      <w:r>
        <w:t>, I/133, § 5.</w:t>
      </w:r>
    </w:p>
  </w:footnote>
  <w:footnote w:id="14">
    <w:p w:rsidR="00E644C9" w:rsidRDefault="00E644C9" w:rsidP="00E644C9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Tripartitum</w:t>
      </w:r>
      <w:proofErr w:type="spellEnd"/>
      <w:r>
        <w:t>, I/25, zák. čl. 45/1563.</w:t>
      </w:r>
    </w:p>
  </w:footnote>
  <w:footnote w:id="15">
    <w:p w:rsidR="00E644C9" w:rsidRDefault="00E644C9" w:rsidP="00E644C9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Tripartitum</w:t>
      </w:r>
      <w:proofErr w:type="spellEnd"/>
      <w:r>
        <w:t>, I/133, § 46; I/134, § 3 a 4.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C9"/>
    <w:rsid w:val="0035556A"/>
    <w:rsid w:val="00A86F71"/>
    <w:rsid w:val="00E6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FBE21-721E-4A2E-8E73-1B9F34D6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44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rsid w:val="00E644C9"/>
    <w:pPr>
      <w:spacing w:after="0" w:line="240" w:lineRule="auto"/>
    </w:pPr>
    <w:rPr>
      <w:rFonts w:ascii="Times New Roman" w:eastAsia="Times New Roman" w:hAnsi="Times New Roman"/>
      <w:sz w:val="20"/>
      <w:szCs w:val="20"/>
      <w:lang w:val="cs-CZ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644C9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E644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Štenpien</dc:creator>
  <cp:keywords/>
  <dc:description/>
  <cp:lastModifiedBy>Erik Štenpien</cp:lastModifiedBy>
  <cp:revision>1</cp:revision>
  <dcterms:created xsi:type="dcterms:W3CDTF">2020-04-26T15:25:00Z</dcterms:created>
  <dcterms:modified xsi:type="dcterms:W3CDTF">2020-04-26T15:26:00Z</dcterms:modified>
</cp:coreProperties>
</file>