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8FAF905" w14:textId="77777777" w:rsidR="005F7D73" w:rsidRDefault="005F7D73" w:rsidP="005F7D73">
      <w:pPr>
        <w:pStyle w:val="Nadpis4"/>
        <w:spacing w:line="360" w:lineRule="auto"/>
        <w:contextualSpacing/>
        <w:jc w:val="center"/>
        <w:rPr>
          <w:rFonts w:ascii="Arial" w:hAnsi="Arial" w:cs="Arial"/>
          <w:bCs w:val="0"/>
          <w:i w:val="0"/>
          <w:iCs w:val="0"/>
          <w:color w:val="auto"/>
          <w:sz w:val="24"/>
          <w:szCs w:val="24"/>
          <w:lang w:eastAsia="sk-SK"/>
        </w:rPr>
      </w:pPr>
      <w:r>
        <w:rPr>
          <w:rFonts w:ascii="Arial" w:hAnsi="Arial" w:cs="Arial"/>
          <w:bCs w:val="0"/>
          <w:i w:val="0"/>
          <w:iCs w:val="0"/>
          <w:color w:val="auto"/>
          <w:sz w:val="24"/>
          <w:szCs w:val="24"/>
          <w:lang w:eastAsia="sk-SK"/>
        </w:rPr>
        <w:t xml:space="preserve">Prednáška 7. 4. 2020 </w:t>
      </w:r>
    </w:p>
    <w:p w14:paraId="07D61FF1" w14:textId="26997A71" w:rsidR="005F7D73" w:rsidRPr="005F7D73" w:rsidRDefault="005F7D73" w:rsidP="005F7D73">
      <w:pPr>
        <w:pStyle w:val="Nadpis4"/>
        <w:spacing w:line="360" w:lineRule="auto"/>
        <w:contextualSpacing/>
        <w:jc w:val="center"/>
        <w:rPr>
          <w:b w:val="0"/>
          <w:bCs w:val="0"/>
          <w:color w:val="000000" w:themeColor="text1"/>
          <w:lang w:eastAsia="sk-SK"/>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F7D73">
        <w:rPr>
          <w:rFonts w:ascii="Arial" w:hAnsi="Arial" w:cs="Arial"/>
          <w:b w:val="0"/>
          <w:bCs w:val="0"/>
          <w:i w:val="0"/>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Prvostupňové konanie v Kráľovskej tabuli</w:t>
      </w:r>
    </w:p>
    <w:p w14:paraId="3C941719" w14:textId="77777777" w:rsidR="005F7D73" w:rsidRPr="00DF088F" w:rsidRDefault="005F7D73" w:rsidP="005F7D73"/>
    <w:p w14:paraId="1846FCEA" w14:textId="160A0CDC" w:rsidR="005F7D73" w:rsidRDefault="005F7D73" w:rsidP="005F7D73">
      <w:pPr>
        <w:spacing w:line="360" w:lineRule="auto"/>
        <w:contextualSpacing/>
        <w:jc w:val="both"/>
        <w:rPr>
          <w:rFonts w:ascii="Arial" w:hAnsi="Arial" w:cs="Arial"/>
          <w:sz w:val="24"/>
          <w:szCs w:val="24"/>
        </w:rPr>
      </w:pPr>
      <w:r w:rsidRPr="00DF088F">
        <w:tab/>
      </w:r>
      <w:r w:rsidRPr="00DF088F">
        <w:rPr>
          <w:rFonts w:ascii="Arial" w:hAnsi="Arial" w:cs="Arial"/>
          <w:sz w:val="24"/>
          <w:szCs w:val="24"/>
        </w:rPr>
        <w:t>Prvostupňový proces pred Kráľovskou tabuľou (</w:t>
      </w:r>
      <w:proofErr w:type="spellStart"/>
      <w:r w:rsidRPr="00DF088F">
        <w:rPr>
          <w:rFonts w:ascii="Arial" w:hAnsi="Arial" w:cs="Arial"/>
          <w:sz w:val="24"/>
          <w:szCs w:val="24"/>
        </w:rPr>
        <w:t>tabulárny</w:t>
      </w:r>
      <w:proofErr w:type="spellEnd"/>
      <w:r w:rsidRPr="00DF088F">
        <w:rPr>
          <w:rFonts w:ascii="Arial" w:hAnsi="Arial" w:cs="Arial"/>
          <w:sz w:val="24"/>
          <w:szCs w:val="24"/>
        </w:rPr>
        <w:t xml:space="preserve"> spor) mal nasledovné etapy:</w:t>
      </w:r>
    </w:p>
    <w:p w14:paraId="7BFF3A17" w14:textId="77777777" w:rsidR="005F7D73" w:rsidRDefault="005F7D73" w:rsidP="005F7D73">
      <w:pPr>
        <w:spacing w:line="360" w:lineRule="auto"/>
        <w:contextualSpacing/>
        <w:jc w:val="both"/>
        <w:rPr>
          <w:rFonts w:ascii="Arial" w:hAnsi="Arial" w:cs="Arial"/>
          <w:sz w:val="24"/>
          <w:szCs w:val="24"/>
        </w:rPr>
      </w:pPr>
    </w:p>
    <w:p w14:paraId="6C8F5E1D" w14:textId="77777777" w:rsidR="005F7D73" w:rsidRDefault="005F7D73" w:rsidP="005F7D73">
      <w:pPr>
        <w:spacing w:line="360" w:lineRule="auto"/>
        <w:contextualSpacing/>
        <w:jc w:val="both"/>
        <w:rPr>
          <w:rFonts w:ascii="Arial" w:hAnsi="Arial" w:cs="Arial"/>
          <w:bCs/>
          <w:iCs/>
          <w:sz w:val="24"/>
          <w:szCs w:val="24"/>
        </w:rPr>
      </w:pPr>
      <w:r w:rsidRPr="005F7D73">
        <w:rPr>
          <w:rFonts w:ascii="Arial" w:hAnsi="Arial" w:cs="Arial"/>
          <w:b/>
          <w:iCs/>
          <w:sz w:val="24"/>
          <w:szCs w:val="24"/>
        </w:rPr>
        <w:t>Prípravné konanie.</w:t>
      </w:r>
      <w:r w:rsidRPr="005F7D73">
        <w:rPr>
          <w:rFonts w:ascii="Arial" w:hAnsi="Arial" w:cs="Arial"/>
          <w:bCs/>
          <w:iCs/>
          <w:sz w:val="24"/>
          <w:szCs w:val="24"/>
        </w:rPr>
        <w:t xml:space="preserve"> </w:t>
      </w:r>
    </w:p>
    <w:p w14:paraId="766166E2" w14:textId="09646BFC" w:rsidR="005F7D73" w:rsidRPr="00DF088F" w:rsidRDefault="005F7D73" w:rsidP="005F7D73">
      <w:pPr>
        <w:spacing w:line="360" w:lineRule="auto"/>
        <w:contextualSpacing/>
        <w:jc w:val="both"/>
        <w:rPr>
          <w:rFonts w:ascii="Arial" w:hAnsi="Arial" w:cs="Arial"/>
          <w:sz w:val="24"/>
          <w:szCs w:val="24"/>
        </w:rPr>
      </w:pPr>
      <w:r w:rsidRPr="005F7D73">
        <w:rPr>
          <w:rFonts w:ascii="Arial" w:hAnsi="Arial" w:cs="Arial"/>
          <w:bCs/>
          <w:iCs/>
          <w:sz w:val="24"/>
          <w:szCs w:val="24"/>
        </w:rPr>
        <w:t>Konanie</w:t>
      </w:r>
      <w:r w:rsidRPr="00DF088F">
        <w:rPr>
          <w:rFonts w:ascii="Arial" w:hAnsi="Arial" w:cs="Arial"/>
          <w:sz w:val="24"/>
          <w:szCs w:val="24"/>
        </w:rPr>
        <w:t xml:space="preserve"> sa začínalo žalobnou listinou alebo príkazom na začatie konania (ak bolo žalovaných viac). V listine o začatí konania bolo potrebné určiť predmet sporu – teda kto, od koho, čo a na akom základe požaduje. V listine žalobca </w:t>
      </w:r>
      <w:r w:rsidRPr="005F7D73">
        <w:rPr>
          <w:rFonts w:ascii="Arial" w:hAnsi="Arial" w:cs="Arial"/>
          <w:iCs/>
          <w:sz w:val="24"/>
          <w:szCs w:val="24"/>
        </w:rPr>
        <w:t>napomínal (</w:t>
      </w:r>
      <w:r w:rsidRPr="00DF088F">
        <w:rPr>
          <w:rFonts w:ascii="Arial" w:hAnsi="Arial" w:cs="Arial"/>
          <w:sz w:val="24"/>
          <w:szCs w:val="24"/>
        </w:rPr>
        <w:t xml:space="preserve">vyzýval) žalovaného, aby splnil svoju povinnosť, inak sa obráti na súd. Príkaz na začatie konania vydával </w:t>
      </w:r>
      <w:proofErr w:type="spellStart"/>
      <w:r w:rsidRPr="00DF088F">
        <w:rPr>
          <w:rFonts w:ascii="Arial" w:hAnsi="Arial" w:cs="Arial"/>
          <w:sz w:val="24"/>
          <w:szCs w:val="24"/>
        </w:rPr>
        <w:t>personalis</w:t>
      </w:r>
      <w:proofErr w:type="spellEnd"/>
      <w:r w:rsidRPr="00DF088F">
        <w:rPr>
          <w:rFonts w:ascii="Arial" w:hAnsi="Arial" w:cs="Arial"/>
          <w:sz w:val="24"/>
          <w:szCs w:val="24"/>
        </w:rPr>
        <w:t xml:space="preserve">. Na základe listiny alebo príkazu </w:t>
      </w:r>
      <w:proofErr w:type="spellStart"/>
      <w:r w:rsidRPr="00DF088F">
        <w:rPr>
          <w:rFonts w:ascii="Arial" w:hAnsi="Arial" w:cs="Arial"/>
          <w:sz w:val="24"/>
          <w:szCs w:val="24"/>
        </w:rPr>
        <w:t>personalisa</w:t>
      </w:r>
      <w:proofErr w:type="spellEnd"/>
      <w:r w:rsidRPr="00DF088F">
        <w:rPr>
          <w:rFonts w:ascii="Arial" w:hAnsi="Arial" w:cs="Arial"/>
          <w:sz w:val="24"/>
          <w:szCs w:val="24"/>
        </w:rPr>
        <w:t xml:space="preserve"> úradník Kráľovskej tabule vykonal predvolanie žalovaného. </w:t>
      </w:r>
    </w:p>
    <w:p w14:paraId="11B4F00E" w14:textId="77777777" w:rsidR="005F7D73" w:rsidRPr="00DF088F" w:rsidRDefault="005F7D73" w:rsidP="005F7D73">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Odpis </w:t>
      </w:r>
      <w:proofErr w:type="spellStart"/>
      <w:r w:rsidRPr="00DF088F">
        <w:rPr>
          <w:rFonts w:ascii="Arial" w:hAnsi="Arial" w:cs="Arial"/>
          <w:sz w:val="24"/>
          <w:szCs w:val="24"/>
        </w:rPr>
        <w:t>predvolacej</w:t>
      </w:r>
      <w:proofErr w:type="spellEnd"/>
      <w:r w:rsidRPr="00DF088F">
        <w:rPr>
          <w:rFonts w:ascii="Arial" w:hAnsi="Arial" w:cs="Arial"/>
          <w:sz w:val="24"/>
          <w:szCs w:val="24"/>
        </w:rPr>
        <w:t xml:space="preserve"> listiny a príkazu na začatie konania sa doručoval žalobcovi osobne v jeho bydlisku alebo na „vhodnom mieste“. Bolo zakázané doručovať v krčme. V prípade nemožnosti doručenia bolo možné doručiť poddanému žalovaného, resp. predvolanie priklincovať na dvere žalovaného. Ak však bolo predvolanie doručené osobe, ktorá nepatrila pod vrchnostenskú právomoc žalovaného, mohol to žalovaný napadnúť námietkou, ktorá mala za následok zrušenie konania. Správnym doručením nastával stav </w:t>
      </w:r>
      <w:proofErr w:type="spellStart"/>
      <w:r w:rsidRPr="005F7D73">
        <w:rPr>
          <w:rFonts w:ascii="Arial" w:hAnsi="Arial" w:cs="Arial"/>
          <w:iCs/>
          <w:sz w:val="24"/>
          <w:szCs w:val="24"/>
        </w:rPr>
        <w:t>litis</w:t>
      </w:r>
      <w:proofErr w:type="spellEnd"/>
      <w:r w:rsidRPr="005F7D73">
        <w:rPr>
          <w:rFonts w:ascii="Arial" w:hAnsi="Arial" w:cs="Arial"/>
          <w:iCs/>
          <w:sz w:val="24"/>
          <w:szCs w:val="24"/>
        </w:rPr>
        <w:t xml:space="preserve"> </w:t>
      </w:r>
      <w:proofErr w:type="spellStart"/>
      <w:r w:rsidRPr="005F7D73">
        <w:rPr>
          <w:rFonts w:ascii="Arial" w:hAnsi="Arial" w:cs="Arial"/>
          <w:iCs/>
          <w:sz w:val="24"/>
          <w:szCs w:val="24"/>
        </w:rPr>
        <w:t>pendencie</w:t>
      </w:r>
      <w:proofErr w:type="spellEnd"/>
      <w:r w:rsidRPr="005F7D73">
        <w:rPr>
          <w:rFonts w:ascii="Arial" w:hAnsi="Arial" w:cs="Arial"/>
          <w:iCs/>
          <w:sz w:val="24"/>
          <w:szCs w:val="24"/>
        </w:rPr>
        <w:t>.</w:t>
      </w:r>
      <w:r w:rsidRPr="00DF088F">
        <w:rPr>
          <w:rFonts w:ascii="Arial" w:hAnsi="Arial" w:cs="Arial"/>
          <w:i/>
          <w:sz w:val="24"/>
          <w:szCs w:val="24"/>
        </w:rPr>
        <w:t xml:space="preserve"> </w:t>
      </w:r>
      <w:r w:rsidRPr="00DF088F">
        <w:rPr>
          <w:rFonts w:ascii="Arial" w:hAnsi="Arial" w:cs="Arial"/>
          <w:sz w:val="24"/>
          <w:szCs w:val="24"/>
        </w:rPr>
        <w:t xml:space="preserve">Od tohto momentu už nebolo možné žalobu doplňovať. </w:t>
      </w:r>
      <w:bookmarkStart w:id="0" w:name="_GoBack"/>
      <w:bookmarkEnd w:id="0"/>
    </w:p>
    <w:p w14:paraId="6569F79D" w14:textId="77777777" w:rsidR="005F7D73" w:rsidRPr="00DF088F" w:rsidRDefault="005F7D73" w:rsidP="005F7D73">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Konanie sa začínalo tak, že sa žalobca alebo jeho advokát v určený deň dostavili na pojednávanie a predložili tam podrobné písomné dôkazy a listiny dosvedčujúce predvolanie. Žalobca požiadal o vyzvanie žalovaného na podanie vysvetlenia a pre seba žiadal o výkon spravodlivosti. Súdny úradník zaslal spisy do siene Kráľovskej tabule. Predkladateľ v súdnej sieni prečítal text listín pred prítomnými členmi súdneho tribunálu. Oznámenie nároku žalobcu bolo zapísané do zápisnice z pojednávania Kráľovskej tabule. Skončila verejná časť pojednávania a začalo sa neverejné zasadnutie. </w:t>
      </w:r>
    </w:p>
    <w:p w14:paraId="2D4D3A85" w14:textId="531A67E2" w:rsidR="005F7D73" w:rsidRDefault="005F7D73" w:rsidP="005F7D73">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Pred pojednávacou sieňou súdny referent vyzval žalovaného, aby sa prihlásil. Po oslovení sa dostavil žalovaný alebo jeho právny zástupca, čo bolo zapísané do súdnych spisov. Vec postúpila do druhej fázy súdneho konania. Ak sa žalobca </w:t>
      </w:r>
      <w:r w:rsidRPr="00DF088F">
        <w:rPr>
          <w:rFonts w:ascii="Arial" w:hAnsi="Arial" w:cs="Arial"/>
          <w:sz w:val="24"/>
          <w:szCs w:val="24"/>
        </w:rPr>
        <w:lastRenderedPageBreak/>
        <w:t>nedostavil, súd konanie odmietol a vyrubil žalobcovi pokutu. Neprítomný žalovaný bol okrem zaplatenia pokuty odsúdený do výšky uplatňovanej sumy.</w:t>
      </w:r>
    </w:p>
    <w:p w14:paraId="371031ED" w14:textId="77777777" w:rsidR="005F7D73" w:rsidRPr="00DF088F" w:rsidRDefault="005F7D73" w:rsidP="005F7D73">
      <w:pPr>
        <w:spacing w:line="360" w:lineRule="auto"/>
        <w:ind w:firstLine="708"/>
        <w:contextualSpacing/>
        <w:jc w:val="both"/>
        <w:rPr>
          <w:rFonts w:ascii="Arial" w:hAnsi="Arial" w:cs="Arial"/>
          <w:sz w:val="24"/>
          <w:szCs w:val="24"/>
        </w:rPr>
      </w:pPr>
    </w:p>
    <w:p w14:paraId="31A78F68" w14:textId="77777777" w:rsidR="005F7D73" w:rsidRDefault="005F7D73" w:rsidP="005F7D73">
      <w:pPr>
        <w:spacing w:line="360" w:lineRule="auto"/>
        <w:contextualSpacing/>
        <w:jc w:val="both"/>
        <w:rPr>
          <w:rFonts w:ascii="Arial" w:hAnsi="Arial" w:cs="Arial"/>
          <w:b/>
          <w:i/>
          <w:sz w:val="24"/>
          <w:szCs w:val="24"/>
        </w:rPr>
      </w:pPr>
      <w:proofErr w:type="spellStart"/>
      <w:r w:rsidRPr="005F7D73">
        <w:rPr>
          <w:rFonts w:ascii="Arial" w:hAnsi="Arial" w:cs="Arial"/>
          <w:b/>
          <w:iCs/>
          <w:sz w:val="24"/>
          <w:szCs w:val="24"/>
        </w:rPr>
        <w:t>Namietacie</w:t>
      </w:r>
      <w:proofErr w:type="spellEnd"/>
      <w:r w:rsidRPr="005F7D73">
        <w:rPr>
          <w:rFonts w:ascii="Arial" w:hAnsi="Arial" w:cs="Arial"/>
          <w:b/>
          <w:iCs/>
          <w:sz w:val="24"/>
          <w:szCs w:val="24"/>
        </w:rPr>
        <w:t xml:space="preserve"> konanie.</w:t>
      </w:r>
      <w:r w:rsidRPr="00DF088F">
        <w:rPr>
          <w:rFonts w:ascii="Arial" w:hAnsi="Arial" w:cs="Arial"/>
          <w:b/>
          <w:i/>
          <w:sz w:val="24"/>
          <w:szCs w:val="24"/>
        </w:rPr>
        <w:t xml:space="preserve"> </w:t>
      </w:r>
    </w:p>
    <w:p w14:paraId="06CADD28" w14:textId="043560AD" w:rsidR="005F7D73" w:rsidRDefault="005F7D73" w:rsidP="005F7D73">
      <w:pPr>
        <w:spacing w:line="360" w:lineRule="auto"/>
        <w:contextualSpacing/>
        <w:jc w:val="both"/>
        <w:rPr>
          <w:rFonts w:ascii="Arial" w:hAnsi="Arial" w:cs="Arial"/>
          <w:sz w:val="24"/>
          <w:szCs w:val="24"/>
        </w:rPr>
      </w:pPr>
      <w:r w:rsidRPr="00DF088F">
        <w:rPr>
          <w:rFonts w:ascii="Arial" w:hAnsi="Arial" w:cs="Arial"/>
          <w:sz w:val="24"/>
          <w:szCs w:val="24"/>
        </w:rPr>
        <w:t xml:space="preserve">Tu bolo možné podávať formálne námietky. Účastníci konania svoje námietky diktovali do súdnej zápisnice. Námietky boli formálneho charakteru, mohli mať však za následok až zrušenie súdneho konania. </w:t>
      </w:r>
    </w:p>
    <w:p w14:paraId="0ECA82CD" w14:textId="77777777" w:rsidR="005F7D73" w:rsidRPr="00DF088F" w:rsidRDefault="005F7D73" w:rsidP="005F7D73">
      <w:pPr>
        <w:spacing w:line="360" w:lineRule="auto"/>
        <w:contextualSpacing/>
        <w:jc w:val="both"/>
        <w:rPr>
          <w:rFonts w:ascii="Arial" w:hAnsi="Arial" w:cs="Arial"/>
          <w:sz w:val="24"/>
          <w:szCs w:val="24"/>
        </w:rPr>
      </w:pPr>
    </w:p>
    <w:p w14:paraId="65AA55C1" w14:textId="77777777" w:rsidR="005F7D73" w:rsidRDefault="005F7D73" w:rsidP="005F7D73">
      <w:pPr>
        <w:spacing w:line="360" w:lineRule="auto"/>
        <w:contextualSpacing/>
        <w:jc w:val="both"/>
        <w:rPr>
          <w:rFonts w:ascii="Arial" w:hAnsi="Arial" w:cs="Arial"/>
          <w:sz w:val="24"/>
          <w:szCs w:val="24"/>
        </w:rPr>
      </w:pPr>
      <w:r w:rsidRPr="005F7D73">
        <w:rPr>
          <w:rFonts w:ascii="Arial" w:hAnsi="Arial" w:cs="Arial"/>
          <w:b/>
          <w:iCs/>
          <w:sz w:val="24"/>
          <w:szCs w:val="24"/>
        </w:rPr>
        <w:t>Meritórne konanie.</w:t>
      </w:r>
      <w:r w:rsidRPr="00DF088F">
        <w:rPr>
          <w:rFonts w:ascii="Arial" w:hAnsi="Arial" w:cs="Arial"/>
          <w:b/>
          <w:i/>
          <w:sz w:val="24"/>
          <w:szCs w:val="24"/>
        </w:rPr>
        <w:t xml:space="preserve"> </w:t>
      </w:r>
    </w:p>
    <w:p w14:paraId="2F92FD08" w14:textId="03E43AA4" w:rsidR="005F7D73" w:rsidRPr="00DF088F" w:rsidRDefault="005F7D73" w:rsidP="005F7D73">
      <w:pPr>
        <w:spacing w:line="360" w:lineRule="auto"/>
        <w:contextualSpacing/>
        <w:jc w:val="both"/>
        <w:rPr>
          <w:rFonts w:ascii="Arial" w:hAnsi="Arial" w:cs="Arial"/>
          <w:sz w:val="24"/>
          <w:szCs w:val="24"/>
        </w:rPr>
      </w:pPr>
      <w:r w:rsidRPr="00DF088F">
        <w:rPr>
          <w:rFonts w:ascii="Arial" w:hAnsi="Arial" w:cs="Arial"/>
          <w:sz w:val="24"/>
          <w:szCs w:val="24"/>
        </w:rPr>
        <w:t xml:space="preserve">Tu sa konala výmena názorov vo veci samej a dokazovanie. Fáza konania sa začínala </w:t>
      </w:r>
      <w:proofErr w:type="spellStart"/>
      <w:r w:rsidRPr="00DF088F">
        <w:rPr>
          <w:rFonts w:ascii="Arial" w:hAnsi="Arial" w:cs="Arial"/>
          <w:sz w:val="24"/>
          <w:szCs w:val="24"/>
        </w:rPr>
        <w:t>litis</w:t>
      </w:r>
      <w:proofErr w:type="spellEnd"/>
      <w:r w:rsidRPr="00DF088F">
        <w:rPr>
          <w:rFonts w:ascii="Arial" w:hAnsi="Arial" w:cs="Arial"/>
          <w:sz w:val="24"/>
          <w:szCs w:val="24"/>
        </w:rPr>
        <w:t xml:space="preserve"> </w:t>
      </w:r>
      <w:proofErr w:type="spellStart"/>
      <w:r w:rsidRPr="00DF088F">
        <w:rPr>
          <w:rFonts w:ascii="Arial" w:hAnsi="Arial" w:cs="Arial"/>
          <w:sz w:val="24"/>
          <w:szCs w:val="24"/>
        </w:rPr>
        <w:t>contestatiou</w:t>
      </w:r>
      <w:proofErr w:type="spellEnd"/>
      <w:r w:rsidRPr="00DF088F">
        <w:rPr>
          <w:rFonts w:ascii="Arial" w:hAnsi="Arial" w:cs="Arial"/>
          <w:sz w:val="24"/>
          <w:szCs w:val="24"/>
        </w:rPr>
        <w:t xml:space="preserve"> a končila sa vynesením definitívneho rozsudku. Počet vecných dôkazov bol v tejto fáze obmedzený na štyri. Najdôležitejšími dôkaznými prostriedkami boli listiny a svedkovia. Absolútnym dôkazom boli verejné listiny. Svedecké výpovede boli zapísané do zápisnice. Osobe, ktorá výsluch požadovala, bola doručená len zápisnica. </w:t>
      </w:r>
    </w:p>
    <w:p w14:paraId="2FAB9BAE" w14:textId="77777777" w:rsidR="005F7D73" w:rsidRDefault="005F7D73" w:rsidP="005F7D73">
      <w:pPr>
        <w:spacing w:line="360" w:lineRule="auto"/>
        <w:ind w:firstLine="708"/>
        <w:contextualSpacing/>
        <w:jc w:val="both"/>
        <w:rPr>
          <w:rFonts w:ascii="Arial" w:hAnsi="Arial" w:cs="Arial"/>
          <w:b/>
          <w:i/>
          <w:sz w:val="24"/>
          <w:szCs w:val="24"/>
        </w:rPr>
      </w:pPr>
    </w:p>
    <w:p w14:paraId="20B8D4AE" w14:textId="77777777" w:rsidR="005F7D73" w:rsidRDefault="005F7D73" w:rsidP="005F7D73">
      <w:pPr>
        <w:spacing w:line="360" w:lineRule="auto"/>
        <w:contextualSpacing/>
        <w:jc w:val="both"/>
        <w:rPr>
          <w:rFonts w:ascii="Arial" w:hAnsi="Arial" w:cs="Arial"/>
          <w:sz w:val="24"/>
          <w:szCs w:val="24"/>
        </w:rPr>
      </w:pPr>
      <w:r w:rsidRPr="005F7D73">
        <w:rPr>
          <w:rFonts w:ascii="Arial" w:hAnsi="Arial" w:cs="Arial"/>
          <w:b/>
          <w:iCs/>
          <w:sz w:val="24"/>
          <w:szCs w:val="24"/>
        </w:rPr>
        <w:t>Konanie o rozsudku.</w:t>
      </w:r>
      <w:r w:rsidRPr="00DF088F">
        <w:rPr>
          <w:rFonts w:ascii="Arial" w:hAnsi="Arial" w:cs="Arial"/>
          <w:b/>
          <w:i/>
          <w:sz w:val="24"/>
          <w:szCs w:val="24"/>
        </w:rPr>
        <w:t xml:space="preserve"> </w:t>
      </w:r>
    </w:p>
    <w:p w14:paraId="3501E9E8" w14:textId="468613F7" w:rsidR="005F7D73" w:rsidRPr="005F7D73" w:rsidRDefault="005F7D73" w:rsidP="005F7D73">
      <w:pPr>
        <w:spacing w:line="360" w:lineRule="auto"/>
        <w:contextualSpacing/>
        <w:jc w:val="both"/>
        <w:rPr>
          <w:rFonts w:ascii="Arial" w:hAnsi="Arial" w:cs="Arial"/>
          <w:iCs/>
          <w:sz w:val="24"/>
          <w:szCs w:val="24"/>
        </w:rPr>
      </w:pPr>
      <w:r w:rsidRPr="00DF088F">
        <w:rPr>
          <w:rFonts w:ascii="Arial" w:hAnsi="Arial" w:cs="Arial"/>
          <w:sz w:val="24"/>
          <w:szCs w:val="24"/>
        </w:rPr>
        <w:t xml:space="preserve">V tejto fáze bol prijatý konečný rozsudok, ktorým sa končila základná časť súdneho konania. Rozsudky nemuseli byť odôvodňované až do roku 1819. Ak nebolo podané odvolanie, vydávala Kráľovská tabuľa účastníkom konania </w:t>
      </w:r>
      <w:r w:rsidRPr="005F7D73">
        <w:rPr>
          <w:rFonts w:ascii="Arial" w:hAnsi="Arial" w:cs="Arial"/>
          <w:iCs/>
          <w:sz w:val="24"/>
          <w:szCs w:val="24"/>
        </w:rPr>
        <w:t xml:space="preserve">listinu o rozsudku, v ktorej bol zapísaný text rozhodnutia. Súdny spor sa mohol skončiť aj zmierením. </w:t>
      </w:r>
    </w:p>
    <w:p w14:paraId="4A98683A" w14:textId="77777777" w:rsidR="005F7D73" w:rsidRDefault="005F7D73" w:rsidP="005F7D73">
      <w:pPr>
        <w:spacing w:line="360" w:lineRule="auto"/>
        <w:contextualSpacing/>
        <w:jc w:val="both"/>
        <w:rPr>
          <w:rFonts w:ascii="Arial" w:hAnsi="Arial" w:cs="Arial"/>
          <w:b/>
          <w:i/>
          <w:sz w:val="24"/>
          <w:szCs w:val="24"/>
        </w:rPr>
      </w:pPr>
    </w:p>
    <w:p w14:paraId="69AD68EA" w14:textId="77777777" w:rsidR="005F7D73" w:rsidRDefault="005F7D73" w:rsidP="005F7D73">
      <w:pPr>
        <w:spacing w:line="360" w:lineRule="auto"/>
        <w:contextualSpacing/>
        <w:jc w:val="both"/>
        <w:rPr>
          <w:rFonts w:ascii="Arial" w:hAnsi="Arial" w:cs="Arial"/>
          <w:sz w:val="24"/>
          <w:szCs w:val="24"/>
        </w:rPr>
      </w:pPr>
      <w:r w:rsidRPr="005F7D73">
        <w:rPr>
          <w:rFonts w:ascii="Arial" w:hAnsi="Arial" w:cs="Arial"/>
          <w:b/>
          <w:iCs/>
          <w:sz w:val="24"/>
          <w:szCs w:val="24"/>
        </w:rPr>
        <w:t>Opravné konanie.</w:t>
      </w:r>
      <w:r w:rsidRPr="00DF088F">
        <w:rPr>
          <w:rFonts w:ascii="Arial" w:hAnsi="Arial" w:cs="Arial"/>
          <w:b/>
          <w:i/>
          <w:sz w:val="24"/>
          <w:szCs w:val="24"/>
        </w:rPr>
        <w:t xml:space="preserve"> </w:t>
      </w:r>
    </w:p>
    <w:p w14:paraId="2577467E" w14:textId="6979332E" w:rsidR="005F7D73" w:rsidRPr="00DF088F" w:rsidRDefault="005F7D73" w:rsidP="005F7D73">
      <w:pPr>
        <w:spacing w:line="360" w:lineRule="auto"/>
        <w:contextualSpacing/>
        <w:jc w:val="both"/>
        <w:rPr>
          <w:rFonts w:ascii="Arial" w:hAnsi="Arial" w:cs="Arial"/>
          <w:sz w:val="24"/>
          <w:szCs w:val="24"/>
        </w:rPr>
      </w:pPr>
      <w:r w:rsidRPr="00DF088F">
        <w:rPr>
          <w:rFonts w:ascii="Arial" w:hAnsi="Arial" w:cs="Arial"/>
          <w:sz w:val="24"/>
          <w:szCs w:val="24"/>
        </w:rPr>
        <w:t xml:space="preserve">Odsúdený mal právo na odvolanie, mohol podať odpor alebo využiť </w:t>
      </w:r>
      <w:proofErr w:type="spellStart"/>
      <w:r w:rsidRPr="00DF088F">
        <w:rPr>
          <w:rFonts w:ascii="Arial" w:hAnsi="Arial" w:cs="Arial"/>
          <w:sz w:val="24"/>
          <w:szCs w:val="24"/>
        </w:rPr>
        <w:t>repulziu</w:t>
      </w:r>
      <w:proofErr w:type="spellEnd"/>
      <w:r w:rsidRPr="00DF088F">
        <w:rPr>
          <w:rFonts w:ascii="Arial" w:hAnsi="Arial" w:cs="Arial"/>
          <w:sz w:val="24"/>
          <w:szCs w:val="24"/>
        </w:rPr>
        <w:t xml:space="preserve">. Najčastejším opravným prostriedkom bolo </w:t>
      </w:r>
      <w:r w:rsidRPr="00DF088F">
        <w:rPr>
          <w:rFonts w:ascii="Arial" w:hAnsi="Arial" w:cs="Arial"/>
          <w:i/>
          <w:sz w:val="24"/>
          <w:szCs w:val="24"/>
        </w:rPr>
        <w:t xml:space="preserve">odvolanie, </w:t>
      </w:r>
      <w:r w:rsidRPr="00DF088F">
        <w:rPr>
          <w:rFonts w:ascii="Arial" w:hAnsi="Arial" w:cs="Arial"/>
          <w:sz w:val="24"/>
          <w:szCs w:val="24"/>
        </w:rPr>
        <w:t xml:space="preserve">ktoré mohol využiť žalobca aj žalovaný. Odvolanie bolo potrebné podať v deň vynesenia rozsudku a vždy sa zapisovalo do zápisnice. Ak Kráľovská tabuľa nenašla procesnú okolnosť, ktorá by vylúčila začatie odvolacieho konania, bolo odvolanie povolené. Prebiehalo pomerne rýchlo na </w:t>
      </w:r>
      <w:proofErr w:type="spellStart"/>
      <w:r w:rsidRPr="00DF088F">
        <w:rPr>
          <w:rFonts w:ascii="Arial" w:hAnsi="Arial" w:cs="Arial"/>
          <w:sz w:val="24"/>
          <w:szCs w:val="24"/>
        </w:rPr>
        <w:t>Sedmopanskej</w:t>
      </w:r>
      <w:proofErr w:type="spellEnd"/>
      <w:r w:rsidRPr="00DF088F">
        <w:rPr>
          <w:rFonts w:ascii="Arial" w:hAnsi="Arial" w:cs="Arial"/>
          <w:sz w:val="24"/>
          <w:szCs w:val="24"/>
        </w:rPr>
        <w:t xml:space="preserve"> tabuli.</w:t>
      </w:r>
    </w:p>
    <w:p w14:paraId="6BD8281D" w14:textId="77777777" w:rsidR="005F7D73" w:rsidRPr="005F7D73" w:rsidRDefault="005F7D73" w:rsidP="005F7D73">
      <w:pPr>
        <w:spacing w:line="360" w:lineRule="auto"/>
        <w:ind w:firstLine="708"/>
        <w:contextualSpacing/>
        <w:jc w:val="both"/>
        <w:rPr>
          <w:rFonts w:ascii="Arial" w:hAnsi="Arial" w:cs="Arial"/>
          <w:iCs/>
          <w:sz w:val="24"/>
          <w:szCs w:val="24"/>
        </w:rPr>
      </w:pPr>
      <w:r w:rsidRPr="00DF088F">
        <w:rPr>
          <w:rFonts w:ascii="Arial" w:hAnsi="Arial" w:cs="Arial"/>
          <w:sz w:val="24"/>
          <w:szCs w:val="24"/>
        </w:rPr>
        <w:t xml:space="preserve">Súdne konanie sa mohlo okrem odvolania skončiť aj podaním </w:t>
      </w:r>
      <w:r w:rsidRPr="005F7D73">
        <w:rPr>
          <w:rFonts w:ascii="Arial" w:hAnsi="Arial" w:cs="Arial"/>
          <w:iCs/>
          <w:sz w:val="24"/>
          <w:szCs w:val="24"/>
        </w:rPr>
        <w:t>odporu</w:t>
      </w:r>
      <w:r w:rsidRPr="00DF088F">
        <w:rPr>
          <w:rFonts w:ascii="Arial" w:hAnsi="Arial" w:cs="Arial"/>
          <w:i/>
          <w:sz w:val="24"/>
          <w:szCs w:val="24"/>
        </w:rPr>
        <w:t xml:space="preserve"> </w:t>
      </w:r>
      <w:r w:rsidRPr="00DF088F">
        <w:rPr>
          <w:rFonts w:ascii="Arial" w:hAnsi="Arial" w:cs="Arial"/>
          <w:sz w:val="24"/>
          <w:szCs w:val="24"/>
        </w:rPr>
        <w:t xml:space="preserve">alebo </w:t>
      </w:r>
      <w:r w:rsidRPr="00DF088F">
        <w:rPr>
          <w:rFonts w:ascii="Arial" w:hAnsi="Arial" w:cs="Arial"/>
          <w:i/>
          <w:sz w:val="24"/>
          <w:szCs w:val="24"/>
        </w:rPr>
        <w:t xml:space="preserve">využitím </w:t>
      </w:r>
      <w:proofErr w:type="spellStart"/>
      <w:r w:rsidRPr="005F7D73">
        <w:rPr>
          <w:rFonts w:ascii="Arial" w:hAnsi="Arial" w:cs="Arial"/>
          <w:iCs/>
          <w:sz w:val="24"/>
          <w:szCs w:val="24"/>
        </w:rPr>
        <w:t>repulzie</w:t>
      </w:r>
      <w:proofErr w:type="spellEnd"/>
      <w:r w:rsidRPr="005F7D73">
        <w:rPr>
          <w:rFonts w:ascii="Arial" w:hAnsi="Arial" w:cs="Arial"/>
          <w:iCs/>
          <w:sz w:val="24"/>
          <w:szCs w:val="24"/>
        </w:rPr>
        <w:t>.</w:t>
      </w:r>
      <w:r w:rsidRPr="00DF088F">
        <w:rPr>
          <w:rFonts w:ascii="Arial" w:hAnsi="Arial" w:cs="Arial"/>
          <w:i/>
          <w:sz w:val="24"/>
          <w:szCs w:val="24"/>
        </w:rPr>
        <w:t xml:space="preserve"> </w:t>
      </w:r>
      <w:r w:rsidRPr="00DF088F">
        <w:rPr>
          <w:rFonts w:ascii="Arial" w:hAnsi="Arial" w:cs="Arial"/>
          <w:sz w:val="24"/>
          <w:szCs w:val="24"/>
        </w:rPr>
        <w:t xml:space="preserve">Ide v oboch prípadoch o použitie násilia, pričom </w:t>
      </w:r>
      <w:proofErr w:type="spellStart"/>
      <w:r w:rsidRPr="00DF088F">
        <w:rPr>
          <w:rFonts w:ascii="Arial" w:hAnsi="Arial" w:cs="Arial"/>
          <w:sz w:val="24"/>
          <w:szCs w:val="24"/>
        </w:rPr>
        <w:t>repulzia</w:t>
      </w:r>
      <w:proofErr w:type="spellEnd"/>
      <w:r w:rsidRPr="00DF088F">
        <w:rPr>
          <w:rFonts w:ascii="Arial" w:hAnsi="Arial" w:cs="Arial"/>
          <w:sz w:val="24"/>
          <w:szCs w:val="24"/>
        </w:rPr>
        <w:t xml:space="preserve"> bola prípustná len v sporoch týkajúcich sa dedovizne, odpor vo všetkých ostatných veciach. Účinným opravným prostriedkom bolo aj </w:t>
      </w:r>
      <w:r w:rsidRPr="005F7D73">
        <w:rPr>
          <w:rFonts w:ascii="Arial" w:hAnsi="Arial" w:cs="Arial"/>
          <w:iCs/>
          <w:sz w:val="24"/>
          <w:szCs w:val="24"/>
        </w:rPr>
        <w:t xml:space="preserve">stiahnutie advokátovho slova. </w:t>
      </w:r>
    </w:p>
    <w:p w14:paraId="3E0438AE" w14:textId="77777777" w:rsidR="005F7D73" w:rsidRDefault="005F7D73" w:rsidP="005F7D73">
      <w:pPr>
        <w:spacing w:line="360" w:lineRule="auto"/>
        <w:contextualSpacing/>
        <w:jc w:val="both"/>
        <w:rPr>
          <w:rFonts w:ascii="Arial" w:hAnsi="Arial" w:cs="Arial"/>
          <w:b/>
          <w:iCs/>
          <w:sz w:val="24"/>
          <w:szCs w:val="24"/>
        </w:rPr>
      </w:pPr>
    </w:p>
    <w:p w14:paraId="013A4062" w14:textId="32C4ABEC" w:rsidR="005F7D73" w:rsidRDefault="005F7D73" w:rsidP="005F7D73">
      <w:pPr>
        <w:spacing w:line="360" w:lineRule="auto"/>
        <w:contextualSpacing/>
        <w:jc w:val="both"/>
        <w:rPr>
          <w:rFonts w:ascii="Arial" w:hAnsi="Arial" w:cs="Arial"/>
          <w:b/>
          <w:i/>
          <w:sz w:val="24"/>
          <w:szCs w:val="24"/>
        </w:rPr>
      </w:pPr>
      <w:r w:rsidRPr="005F7D73">
        <w:rPr>
          <w:rFonts w:ascii="Arial" w:hAnsi="Arial" w:cs="Arial"/>
          <w:b/>
          <w:iCs/>
          <w:sz w:val="24"/>
          <w:szCs w:val="24"/>
        </w:rPr>
        <w:lastRenderedPageBreak/>
        <w:t>Exekučné konanie.</w:t>
      </w:r>
      <w:r w:rsidRPr="00DF088F">
        <w:rPr>
          <w:rFonts w:ascii="Arial" w:hAnsi="Arial" w:cs="Arial"/>
          <w:b/>
          <w:i/>
          <w:sz w:val="24"/>
          <w:szCs w:val="24"/>
        </w:rPr>
        <w:t xml:space="preserve"> </w:t>
      </w:r>
    </w:p>
    <w:p w14:paraId="5E87C04B" w14:textId="0672E7FB" w:rsidR="005F7D73" w:rsidRPr="00DF088F" w:rsidRDefault="005F7D73" w:rsidP="005F7D73">
      <w:pPr>
        <w:spacing w:line="360" w:lineRule="auto"/>
        <w:contextualSpacing/>
        <w:jc w:val="both"/>
        <w:rPr>
          <w:rFonts w:ascii="Arial" w:hAnsi="Arial" w:cs="Arial"/>
          <w:sz w:val="24"/>
          <w:szCs w:val="24"/>
        </w:rPr>
      </w:pPr>
      <w:r w:rsidRPr="00DF088F">
        <w:rPr>
          <w:rFonts w:ascii="Arial" w:hAnsi="Arial" w:cs="Arial"/>
          <w:sz w:val="24"/>
          <w:szCs w:val="24"/>
        </w:rPr>
        <w:t xml:space="preserve">Je poslednou fázou konania. Deň a miesto výkonu rozsudku určoval sudca poverený exekúciou. O priebehu exekúcie bola spísaná zápisnica, ktorá bola odovzdaná oprávnenej osobe na dôkaz vykonania rozsudku. Po exekúcií bolo možné začať súdne konanie opäť na základe </w:t>
      </w:r>
      <w:r w:rsidRPr="005F7D73">
        <w:rPr>
          <w:rFonts w:ascii="Arial" w:hAnsi="Arial" w:cs="Arial"/>
          <w:iCs/>
          <w:sz w:val="24"/>
          <w:szCs w:val="24"/>
        </w:rPr>
        <w:t>obnovy konania.</w:t>
      </w:r>
      <w:r w:rsidRPr="00DF088F">
        <w:rPr>
          <w:rFonts w:ascii="Arial" w:hAnsi="Arial" w:cs="Arial"/>
          <w:i/>
          <w:sz w:val="24"/>
          <w:szCs w:val="24"/>
        </w:rPr>
        <w:t xml:space="preserve"> </w:t>
      </w:r>
      <w:r w:rsidRPr="00DF088F">
        <w:rPr>
          <w:rFonts w:ascii="Arial" w:hAnsi="Arial" w:cs="Arial"/>
          <w:sz w:val="24"/>
          <w:szCs w:val="24"/>
        </w:rPr>
        <w:t>Pravidlá pre obnovené konanie boli rovnaké ako pre prvostupňové súdne konanie.</w:t>
      </w:r>
    </w:p>
    <w:p w14:paraId="7AB99905" w14:textId="77777777" w:rsidR="00E857C9" w:rsidRDefault="00E857C9"/>
    <w:sectPr w:rsidR="00E857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D73"/>
    <w:rsid w:val="005F7D73"/>
    <w:rsid w:val="00E857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DF6D"/>
  <w15:chartTrackingRefBased/>
  <w15:docId w15:val="{644B0155-8115-41B0-A196-4F93775C6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7D73"/>
    <w:pPr>
      <w:spacing w:after="200" w:line="276" w:lineRule="auto"/>
    </w:pPr>
    <w:rPr>
      <w:rFonts w:ascii="Calibri" w:eastAsia="Calibri" w:hAnsi="Calibri" w:cs="Times New Roman"/>
    </w:rPr>
  </w:style>
  <w:style w:type="paragraph" w:styleId="Nadpis4">
    <w:name w:val="heading 4"/>
    <w:basedOn w:val="Normlny"/>
    <w:next w:val="Normlny"/>
    <w:link w:val="Nadpis4Char"/>
    <w:uiPriority w:val="9"/>
    <w:unhideWhenUsed/>
    <w:qFormat/>
    <w:rsid w:val="005F7D73"/>
    <w:pPr>
      <w:keepNext/>
      <w:keepLines/>
      <w:spacing w:before="200" w:after="0"/>
      <w:outlineLvl w:val="3"/>
    </w:pPr>
    <w:rPr>
      <w:rFonts w:asciiTheme="majorHAnsi" w:eastAsiaTheme="majorEastAsia" w:hAnsiTheme="majorHAnsi" w:cstheme="majorBidi"/>
      <w:b/>
      <w:bCs/>
      <w:i/>
      <w:iCs/>
      <w:color w:val="4472C4" w:themeColor="accent1"/>
    </w:rPr>
  </w:style>
  <w:style w:type="paragraph" w:styleId="Nadpis5">
    <w:name w:val="heading 5"/>
    <w:basedOn w:val="Normlny"/>
    <w:next w:val="Normlny"/>
    <w:link w:val="Nadpis5Char"/>
    <w:qFormat/>
    <w:rsid w:val="005F7D73"/>
    <w:pPr>
      <w:spacing w:before="240" w:after="60"/>
      <w:outlineLvl w:val="4"/>
    </w:pPr>
    <w:rPr>
      <w:b/>
      <w:bCs/>
      <w:i/>
      <w:iCs/>
      <w:sz w:val="26"/>
      <w:szCs w:val="26"/>
      <w:lang w:val="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4Char">
    <w:name w:val="Nadpis 4 Char"/>
    <w:basedOn w:val="Predvolenpsmoodseku"/>
    <w:link w:val="Nadpis4"/>
    <w:uiPriority w:val="9"/>
    <w:rsid w:val="005F7D73"/>
    <w:rPr>
      <w:rFonts w:asciiTheme="majorHAnsi" w:eastAsiaTheme="majorEastAsia" w:hAnsiTheme="majorHAnsi" w:cstheme="majorBidi"/>
      <w:b/>
      <w:bCs/>
      <w:i/>
      <w:iCs/>
      <w:color w:val="4472C4" w:themeColor="accent1"/>
    </w:rPr>
  </w:style>
  <w:style w:type="character" w:customStyle="1" w:styleId="Nadpis5Char">
    <w:name w:val="Nadpis 5 Char"/>
    <w:basedOn w:val="Predvolenpsmoodseku"/>
    <w:link w:val="Nadpis5"/>
    <w:rsid w:val="005F7D73"/>
    <w:rPr>
      <w:rFonts w:ascii="Calibri" w:eastAsia="Calibri" w:hAnsi="Calibri" w:cs="Times New Roman"/>
      <w:b/>
      <w:bCs/>
      <w:i/>
      <w:iCs/>
      <w:sz w:val="26"/>
      <w:szCs w:val="2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640</Words>
  <Characters>3650</Characters>
  <Application>Microsoft Office Word</Application>
  <DocSecurity>0</DocSecurity>
  <Lines>30</Lines>
  <Paragraphs>8</Paragraphs>
  <ScaleCrop>false</ScaleCrop>
  <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Štenpien</dc:creator>
  <cp:keywords/>
  <dc:description/>
  <cp:lastModifiedBy>Erik Štenpien</cp:lastModifiedBy>
  <cp:revision>1</cp:revision>
  <dcterms:created xsi:type="dcterms:W3CDTF">2020-04-05T14:16:00Z</dcterms:created>
  <dcterms:modified xsi:type="dcterms:W3CDTF">2020-04-05T14:23:00Z</dcterms:modified>
</cp:coreProperties>
</file>