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5580" w14:textId="77777777" w:rsidR="00595841" w:rsidRPr="00DB653A" w:rsidRDefault="00595841" w:rsidP="00DB653A">
      <w:pPr>
        <w:ind w:firstLine="0"/>
        <w:jc w:val="center"/>
      </w:pPr>
      <w:r w:rsidRPr="00DB653A">
        <w:t>Univerzita Pavla Jozefa Šafárika v Košiciach, Právnická fakulta</w:t>
      </w:r>
    </w:p>
    <w:p w14:paraId="3B4602D5" w14:textId="202FFDB1" w:rsidR="00B671F3" w:rsidRPr="00DB653A" w:rsidRDefault="00595841" w:rsidP="00DB653A">
      <w:pPr>
        <w:pStyle w:val="Nadpis1"/>
        <w:rPr>
          <w:b w:val="0"/>
          <w:bCs w:val="0"/>
          <w:sz w:val="24"/>
        </w:rPr>
      </w:pPr>
      <w:r w:rsidRPr="00DB653A">
        <w:rPr>
          <w:b w:val="0"/>
          <w:bCs w:val="0"/>
          <w:sz w:val="24"/>
        </w:rPr>
        <w:t>Katedra pracovného práva a práva sociálneho zabezpečenia</w:t>
      </w:r>
    </w:p>
    <w:p w14:paraId="07E7830B" w14:textId="77777777" w:rsidR="00B671F3" w:rsidRPr="005C671D" w:rsidRDefault="00B671F3" w:rsidP="009C7E23">
      <w:pPr>
        <w:ind w:firstLine="0"/>
        <w:rPr>
          <w:b/>
          <w:bCs/>
          <w:i/>
          <w:lang w:eastAsia="sk-SK"/>
        </w:rPr>
      </w:pPr>
    </w:p>
    <w:p w14:paraId="579AF26B" w14:textId="32A1D93C" w:rsidR="00B671F3" w:rsidRPr="005C671D" w:rsidRDefault="00B671F3" w:rsidP="005C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32"/>
          <w:szCs w:val="32"/>
          <w:lang w:eastAsia="sk-SK"/>
        </w:rPr>
      </w:pPr>
      <w:r w:rsidRPr="005C671D">
        <w:rPr>
          <w:b/>
          <w:bCs/>
          <w:i/>
          <w:sz w:val="32"/>
          <w:szCs w:val="32"/>
          <w:lang w:eastAsia="sk-SK"/>
        </w:rPr>
        <w:t>Tematický program predmetu</w:t>
      </w:r>
    </w:p>
    <w:p w14:paraId="6E52E044" w14:textId="7DEDFEF5" w:rsidR="00B671F3" w:rsidRPr="005C671D" w:rsidRDefault="005F12A7" w:rsidP="005C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32"/>
          <w:szCs w:val="32"/>
          <w:lang w:eastAsia="sk-SK"/>
        </w:rPr>
      </w:pPr>
      <w:r w:rsidRPr="005C671D">
        <w:rPr>
          <w:b/>
          <w:bCs/>
          <w:sz w:val="32"/>
          <w:szCs w:val="32"/>
          <w:shd w:val="clear" w:color="auto" w:fill="D9D9D9"/>
          <w:lang w:eastAsia="sk-SK"/>
        </w:rPr>
        <w:t>Právo sociálneho zabezpečenia</w:t>
      </w:r>
    </w:p>
    <w:p w14:paraId="7C727208" w14:textId="2ED98A07" w:rsidR="00B671F3" w:rsidRPr="005C671D" w:rsidRDefault="005F12A7" w:rsidP="005C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32"/>
          <w:szCs w:val="32"/>
          <w:lang w:eastAsia="sk-SK"/>
        </w:rPr>
      </w:pPr>
      <w:r w:rsidRPr="005C671D">
        <w:rPr>
          <w:b/>
          <w:bCs/>
          <w:i/>
          <w:sz w:val="32"/>
          <w:szCs w:val="32"/>
          <w:lang w:eastAsia="sk-SK"/>
        </w:rPr>
        <w:t>1</w:t>
      </w:r>
      <w:r w:rsidR="00B671F3" w:rsidRPr="005C671D">
        <w:rPr>
          <w:b/>
          <w:bCs/>
          <w:i/>
          <w:sz w:val="32"/>
          <w:szCs w:val="32"/>
          <w:lang w:eastAsia="sk-SK"/>
        </w:rPr>
        <w:t xml:space="preserve">. </w:t>
      </w:r>
      <w:r w:rsidR="001A3BB5">
        <w:rPr>
          <w:b/>
          <w:bCs/>
          <w:i/>
          <w:sz w:val="32"/>
          <w:szCs w:val="32"/>
          <w:lang w:eastAsia="sk-SK"/>
        </w:rPr>
        <w:t xml:space="preserve">a 2. </w:t>
      </w:r>
      <w:r w:rsidR="00B671F3" w:rsidRPr="005C671D">
        <w:rPr>
          <w:b/>
          <w:bCs/>
          <w:i/>
          <w:sz w:val="32"/>
          <w:szCs w:val="32"/>
          <w:lang w:eastAsia="sk-SK"/>
        </w:rPr>
        <w:t>ročník MŠP DŠ  – zimný semester</w:t>
      </w:r>
    </w:p>
    <w:p w14:paraId="4D8D9B4F" w14:textId="77777777" w:rsidR="00B671F3" w:rsidRPr="005C671D" w:rsidRDefault="00B671F3" w:rsidP="009C7E23">
      <w:pPr>
        <w:ind w:firstLine="0"/>
        <w:rPr>
          <w:b/>
          <w:bCs/>
          <w:i/>
          <w:iCs/>
          <w:lang w:eastAsia="sk-SK"/>
        </w:rPr>
      </w:pPr>
    </w:p>
    <w:p w14:paraId="4C8C1006" w14:textId="77777777" w:rsidR="00B671F3" w:rsidRPr="005C671D" w:rsidRDefault="00B671F3" w:rsidP="009C7E23">
      <w:pPr>
        <w:ind w:firstLine="0"/>
        <w:rPr>
          <w:bCs/>
          <w:iCs/>
          <w:lang w:eastAsia="sk-SK"/>
        </w:rPr>
      </w:pPr>
    </w:p>
    <w:p w14:paraId="1FAE5A20" w14:textId="1DC6AA0B" w:rsidR="00784ABC" w:rsidRPr="00B30FB0" w:rsidRDefault="00385097" w:rsidP="00FF4A78">
      <w:pPr>
        <w:ind w:firstLine="0"/>
        <w:rPr>
          <w:b/>
          <w:bCs/>
          <w:color w:val="FF0000"/>
          <w:lang w:eastAsia="sk-SK"/>
        </w:rPr>
      </w:pPr>
      <w:r w:rsidRPr="005C671D">
        <w:rPr>
          <w:b/>
          <w:bCs/>
          <w:color w:val="FF0000"/>
          <w:lang w:eastAsia="sk-SK"/>
        </w:rPr>
        <w:t>2</w:t>
      </w:r>
      <w:r w:rsidR="00B248D3">
        <w:rPr>
          <w:b/>
          <w:bCs/>
          <w:color w:val="FF0000"/>
          <w:lang w:eastAsia="sk-SK"/>
        </w:rPr>
        <w:t>0</w:t>
      </w:r>
      <w:r w:rsidR="006B5FDC" w:rsidRPr="005C671D">
        <w:rPr>
          <w:b/>
          <w:bCs/>
          <w:color w:val="FF0000"/>
          <w:lang w:eastAsia="sk-SK"/>
        </w:rPr>
        <w:t>. 09</w:t>
      </w:r>
      <w:r w:rsidR="00280E4A" w:rsidRPr="005C671D">
        <w:rPr>
          <w:b/>
          <w:bCs/>
          <w:color w:val="FF0000"/>
          <w:lang w:eastAsia="sk-SK"/>
        </w:rPr>
        <w:t xml:space="preserve">. </w:t>
      </w:r>
      <w:r w:rsidR="00784ABC">
        <w:rPr>
          <w:b/>
          <w:bCs/>
          <w:color w:val="FF0000"/>
          <w:lang w:eastAsia="sk-SK"/>
        </w:rPr>
        <w:t>202</w:t>
      </w:r>
      <w:r w:rsidR="00B248D3">
        <w:rPr>
          <w:b/>
          <w:bCs/>
          <w:color w:val="FF0000"/>
          <w:lang w:eastAsia="sk-SK"/>
        </w:rPr>
        <w:t>4</w:t>
      </w:r>
    </w:p>
    <w:p w14:paraId="1FD89BC6" w14:textId="6F6A5382" w:rsidR="00784ABC" w:rsidRDefault="00B671F3" w:rsidP="00784ABC">
      <w:pPr>
        <w:ind w:firstLine="0"/>
        <w:rPr>
          <w:b/>
          <w:iCs/>
          <w:lang w:eastAsia="sk-SK"/>
        </w:rPr>
      </w:pPr>
      <w:r w:rsidRPr="005C671D">
        <w:rPr>
          <w:b/>
          <w:iCs/>
          <w:lang w:eastAsia="sk-SK"/>
        </w:rPr>
        <w:t xml:space="preserve">1. </w:t>
      </w:r>
      <w:r w:rsidR="00FF4A78" w:rsidRPr="00E56F61">
        <w:rPr>
          <w:b/>
        </w:rPr>
        <w:t>Úvod do práva sociálneho zabezpečenia.</w:t>
      </w:r>
      <w:r w:rsidR="00FF4A78">
        <w:rPr>
          <w:b/>
          <w:iCs/>
          <w:lang w:eastAsia="sk-SK"/>
        </w:rPr>
        <w:t xml:space="preserve"> </w:t>
      </w:r>
      <w:r w:rsidR="00FF4A78" w:rsidRPr="00E56F61">
        <w:t>Pojem, predmet, pramene práva sociálneho zabezpečenia. Systémové členenie sociálneho zabezpečenia a základná charakteristika.</w:t>
      </w:r>
      <w:r w:rsidR="00FF4A78">
        <w:rPr>
          <w:b/>
        </w:rPr>
        <w:t xml:space="preserve"> </w:t>
      </w:r>
      <w:r w:rsidR="00FF4A78" w:rsidRPr="00E56F61">
        <w:t xml:space="preserve">Sociálno-zabezpečovacie a sociálno-poisťovacie vzťahy. Prvky právnych vzťahov (subjekty, objekt, obsah). Predpoklady právnych vzťahov. Právne skutočnosti v práve sociálneho zabezpečenia. Vznik, zmena, zánik právnych vzťahov SZ. </w:t>
      </w:r>
    </w:p>
    <w:p w14:paraId="39A5C909" w14:textId="3C675057" w:rsidR="00FF4A78" w:rsidRDefault="00784ABC" w:rsidP="00784ABC">
      <w:pPr>
        <w:ind w:firstLine="0"/>
      </w:pPr>
      <w:r>
        <w:rPr>
          <w:b/>
          <w:iCs/>
          <w:lang w:eastAsia="sk-SK"/>
        </w:rPr>
        <w:t xml:space="preserve">2. Zdravotné poistenie. </w:t>
      </w:r>
      <w:r w:rsidRPr="00E56F61">
        <w:t>Právne vzťahy verejného zdravotného poistenia, vznik, zmena, zánik. Osobný rozsah verejného zdravotného poistenia a osoby platiace poistné na verejné zdravotné poistenie. Platenie preddavkov poistného, vymeriavací základ, rozhodujúce obdobie. Ročné zúčtovanie zdravotného poistenia. Odvod a splatnosť poistného.</w:t>
      </w:r>
    </w:p>
    <w:p w14:paraId="4993977C" w14:textId="77777777" w:rsidR="00784ABC" w:rsidRDefault="00784ABC" w:rsidP="00784ABC">
      <w:pPr>
        <w:ind w:firstLine="0"/>
      </w:pPr>
    </w:p>
    <w:p w14:paraId="03BAA19B" w14:textId="43F16258" w:rsidR="00784ABC" w:rsidRPr="0028034C" w:rsidRDefault="00784ABC" w:rsidP="00784ABC">
      <w:pPr>
        <w:ind w:firstLine="0"/>
        <w:rPr>
          <w:b/>
          <w:bCs/>
          <w:color w:val="1F497D" w:themeColor="text2"/>
        </w:rPr>
      </w:pPr>
      <w:r w:rsidRPr="0028034C">
        <w:rPr>
          <w:b/>
          <w:bCs/>
          <w:color w:val="1F497D" w:themeColor="text2"/>
        </w:rPr>
        <w:t>Seminár: úvodný seminár, oboznámenie s podmienkami hodnotenia</w:t>
      </w:r>
    </w:p>
    <w:p w14:paraId="685387D2" w14:textId="77777777" w:rsidR="00784ABC" w:rsidRDefault="00784ABC" w:rsidP="009C7E23">
      <w:pPr>
        <w:ind w:firstLine="0"/>
        <w:rPr>
          <w:b/>
          <w:iCs/>
          <w:lang w:eastAsia="sk-SK"/>
        </w:rPr>
      </w:pPr>
    </w:p>
    <w:p w14:paraId="2E85459C" w14:textId="761F3F10" w:rsidR="00B671F3" w:rsidRDefault="00385097" w:rsidP="00FF4A78">
      <w:pPr>
        <w:ind w:firstLine="0"/>
        <w:rPr>
          <w:b/>
          <w:iCs/>
          <w:lang w:eastAsia="sk-SK"/>
        </w:rPr>
      </w:pPr>
      <w:r w:rsidRPr="005C671D">
        <w:rPr>
          <w:b/>
          <w:bCs/>
          <w:color w:val="FF0000"/>
          <w:lang w:eastAsia="sk-SK"/>
        </w:rPr>
        <w:t>0</w:t>
      </w:r>
      <w:r w:rsidR="00B248D3">
        <w:rPr>
          <w:b/>
          <w:bCs/>
          <w:color w:val="FF0000"/>
          <w:lang w:eastAsia="sk-SK"/>
        </w:rPr>
        <w:t>4</w:t>
      </w:r>
      <w:r w:rsidRPr="005C671D">
        <w:rPr>
          <w:b/>
          <w:bCs/>
          <w:color w:val="FF0000"/>
          <w:lang w:eastAsia="sk-SK"/>
        </w:rPr>
        <w:t>.</w:t>
      </w:r>
      <w:r w:rsidR="00280E4A" w:rsidRPr="005C671D">
        <w:rPr>
          <w:b/>
          <w:bCs/>
          <w:color w:val="FF0000"/>
          <w:lang w:eastAsia="sk-SK"/>
        </w:rPr>
        <w:t xml:space="preserve"> 10. </w:t>
      </w:r>
      <w:r w:rsidR="00784ABC">
        <w:rPr>
          <w:b/>
          <w:bCs/>
          <w:color w:val="FF0000"/>
          <w:lang w:eastAsia="sk-SK"/>
        </w:rPr>
        <w:t>202</w:t>
      </w:r>
      <w:r w:rsidR="00B248D3">
        <w:rPr>
          <w:b/>
          <w:bCs/>
          <w:color w:val="FF0000"/>
          <w:lang w:eastAsia="sk-SK"/>
        </w:rPr>
        <w:t>4</w:t>
      </w:r>
    </w:p>
    <w:p w14:paraId="780013B0" w14:textId="54BCE529" w:rsidR="00784ABC" w:rsidRPr="00B30FB0" w:rsidRDefault="00784ABC" w:rsidP="00784ABC">
      <w:pPr>
        <w:ind w:firstLine="0"/>
        <w:rPr>
          <w:b/>
          <w:iCs/>
          <w:lang w:eastAsia="sk-SK"/>
        </w:rPr>
      </w:pPr>
      <w:r>
        <w:rPr>
          <w:b/>
          <w:iCs/>
          <w:lang w:eastAsia="sk-SK"/>
        </w:rPr>
        <w:t>3</w:t>
      </w:r>
      <w:r w:rsidRPr="005C671D">
        <w:rPr>
          <w:b/>
          <w:iCs/>
          <w:lang w:eastAsia="sk-SK"/>
        </w:rPr>
        <w:t xml:space="preserve">. </w:t>
      </w:r>
      <w:r>
        <w:rPr>
          <w:b/>
          <w:iCs/>
          <w:lang w:eastAsia="sk-SK"/>
        </w:rPr>
        <w:t xml:space="preserve"> Sociálne poistenie. </w:t>
      </w:r>
      <w:r>
        <w:rPr>
          <w:iCs/>
          <w:lang w:eastAsia="sk-SK"/>
        </w:rPr>
        <w:t>Pojem</w:t>
      </w:r>
      <w:r w:rsidRPr="00FF4A78">
        <w:rPr>
          <w:iCs/>
          <w:lang w:eastAsia="sk-SK"/>
        </w:rPr>
        <w:t>, charakteristika, rozsah. Druhy sociálneho poistenia. Poistné a dávkové vzťahy. Osobný rozsah sociálneho poistenia a osoby platiace poistné na sociálne poistenie. Vznik, zmena, zánik sociálneho poistenia. Platenie poistného, vymeriavací základ, rozhodujúce obdobie. Odvod a splatnosť poistného. Dávková schéma, dávková formula.</w:t>
      </w:r>
    </w:p>
    <w:p w14:paraId="36003888" w14:textId="63271ADC" w:rsidR="00784ABC" w:rsidRPr="005C671D" w:rsidRDefault="00784ABC" w:rsidP="00784ABC">
      <w:pPr>
        <w:ind w:firstLine="0"/>
        <w:rPr>
          <w:b/>
          <w:bCs/>
          <w:color w:val="FF0000"/>
          <w:lang w:eastAsia="sk-SK"/>
        </w:rPr>
      </w:pPr>
      <w:r>
        <w:rPr>
          <w:b/>
        </w:rPr>
        <w:t>4. Choroba</w:t>
      </w:r>
      <w:r w:rsidRPr="00E56F61">
        <w:rPr>
          <w:b/>
        </w:rPr>
        <w:t xml:space="preserve">. </w:t>
      </w:r>
      <w:r w:rsidRPr="00E56F61">
        <w:t>Náhrada príjmu pri dočasnej pracovnej neschopnosti.</w:t>
      </w:r>
      <w:r>
        <w:rPr>
          <w:iCs/>
        </w:rPr>
        <w:t xml:space="preserve"> </w:t>
      </w:r>
      <w:r w:rsidRPr="00E56F61">
        <w:t>Nemocenské, ošetrovné – dávková schéma a dávková formula jednotlivých dávok.</w:t>
      </w:r>
    </w:p>
    <w:p w14:paraId="7EA86551" w14:textId="70E2428E" w:rsidR="00784ABC" w:rsidRDefault="00784ABC" w:rsidP="00FF4A78">
      <w:pPr>
        <w:ind w:firstLine="0"/>
        <w:rPr>
          <w:b/>
          <w:iCs/>
          <w:lang w:eastAsia="sk-SK"/>
        </w:rPr>
      </w:pPr>
    </w:p>
    <w:p w14:paraId="776355E2" w14:textId="18E4F56D" w:rsidR="00784ABC" w:rsidRPr="0028034C" w:rsidRDefault="00B30FB0" w:rsidP="00FF4A78">
      <w:pPr>
        <w:ind w:firstLine="0"/>
        <w:rPr>
          <w:b/>
          <w:iCs/>
          <w:color w:val="1F497D" w:themeColor="text2"/>
          <w:lang w:eastAsia="sk-SK"/>
        </w:rPr>
      </w:pPr>
      <w:r>
        <w:rPr>
          <w:b/>
          <w:iCs/>
          <w:color w:val="1F497D" w:themeColor="text2"/>
          <w:lang w:eastAsia="sk-SK"/>
        </w:rPr>
        <w:t>Seminár: téma č. 1 a 2</w:t>
      </w:r>
    </w:p>
    <w:p w14:paraId="1BE4BC0E" w14:textId="77777777" w:rsidR="0039057C" w:rsidRPr="005C671D" w:rsidRDefault="0039057C" w:rsidP="009C7E23">
      <w:pPr>
        <w:ind w:firstLine="0"/>
        <w:rPr>
          <w:b/>
          <w:iCs/>
          <w:lang w:eastAsia="sk-SK"/>
        </w:rPr>
      </w:pPr>
    </w:p>
    <w:p w14:paraId="6092274E" w14:textId="32718730" w:rsidR="00784ABC" w:rsidRPr="00B30FB0" w:rsidRDefault="00B248D3" w:rsidP="00784ABC">
      <w:pPr>
        <w:ind w:firstLine="0"/>
        <w:rPr>
          <w:b/>
          <w:bCs/>
          <w:i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>18</w:t>
      </w:r>
      <w:r w:rsidR="00385097" w:rsidRPr="005C671D">
        <w:rPr>
          <w:b/>
          <w:bCs/>
          <w:color w:val="FF0000"/>
          <w:lang w:eastAsia="sk-SK"/>
        </w:rPr>
        <w:t>. 10</w:t>
      </w:r>
      <w:r w:rsidR="00280E4A" w:rsidRPr="005C671D">
        <w:rPr>
          <w:b/>
          <w:bCs/>
          <w:color w:val="FF0000"/>
          <w:lang w:eastAsia="sk-SK"/>
        </w:rPr>
        <w:t xml:space="preserve">. </w:t>
      </w:r>
      <w:r w:rsidR="00784ABC">
        <w:rPr>
          <w:b/>
          <w:bCs/>
          <w:color w:val="FF0000"/>
          <w:lang w:eastAsia="sk-SK"/>
        </w:rPr>
        <w:t>202</w:t>
      </w:r>
      <w:r>
        <w:rPr>
          <w:b/>
          <w:bCs/>
          <w:color w:val="FF0000"/>
          <w:lang w:eastAsia="sk-SK"/>
        </w:rPr>
        <w:t>4</w:t>
      </w:r>
    </w:p>
    <w:p w14:paraId="6D07AE5C" w14:textId="2D1EE44A" w:rsidR="00784ABC" w:rsidRPr="00B30FB0" w:rsidRDefault="00784ABC" w:rsidP="00784ABC">
      <w:pPr>
        <w:ind w:firstLine="0"/>
        <w:rPr>
          <w:iCs/>
          <w:lang w:eastAsia="sk-SK"/>
        </w:rPr>
      </w:pPr>
      <w:r w:rsidRPr="005C671D">
        <w:rPr>
          <w:b/>
          <w:iCs/>
          <w:lang w:eastAsia="sk-SK"/>
        </w:rPr>
        <w:t xml:space="preserve">5.  </w:t>
      </w:r>
      <w:r>
        <w:rPr>
          <w:b/>
          <w:iCs/>
          <w:lang w:eastAsia="sk-SK"/>
        </w:rPr>
        <w:t xml:space="preserve">Tehotenstvo, pôrod. </w:t>
      </w:r>
      <w:r>
        <w:rPr>
          <w:iCs/>
          <w:lang w:eastAsia="sk-SK"/>
        </w:rPr>
        <w:t>Vyrovnávacia dávka, tehotenské,</w:t>
      </w:r>
      <w:r w:rsidRPr="00FF4A78">
        <w:rPr>
          <w:iCs/>
          <w:lang w:eastAsia="sk-SK"/>
        </w:rPr>
        <w:t xml:space="preserve"> materské - dávková schéma a dávková formula jednotlivých dávok.</w:t>
      </w:r>
    </w:p>
    <w:p w14:paraId="2295E841" w14:textId="280C5ADA" w:rsidR="00B30FB0" w:rsidRPr="00B30FB0" w:rsidRDefault="00784ABC" w:rsidP="00B30FB0">
      <w:pPr>
        <w:ind w:firstLine="0"/>
        <w:rPr>
          <w:b/>
        </w:rPr>
      </w:pPr>
      <w:r w:rsidRPr="007C6F71">
        <w:rPr>
          <w:b/>
          <w:iCs/>
          <w:lang w:eastAsia="sk-SK"/>
        </w:rPr>
        <w:t>6.</w:t>
      </w:r>
      <w:r w:rsidRPr="005C671D">
        <w:rPr>
          <w:iCs/>
          <w:color w:val="0D0D0D"/>
          <w:lang w:eastAsia="sk-SK"/>
        </w:rPr>
        <w:t xml:space="preserve"> </w:t>
      </w:r>
      <w:r w:rsidR="00B30FB0">
        <w:rPr>
          <w:b/>
        </w:rPr>
        <w:t>S</w:t>
      </w:r>
      <w:r w:rsidR="00B30FB0" w:rsidRPr="00E56F61">
        <w:rPr>
          <w:b/>
        </w:rPr>
        <w:t xml:space="preserve">tarostlivosť o deti v sociálnom zabezpečení. </w:t>
      </w:r>
      <w:r w:rsidR="00B30FB0" w:rsidRPr="00E56F61">
        <w:t>Štátna sociálna podpora ako nástroj realizácie rodinnej politiky štátu. Právne vzťahy štátnej sociálnej podpory. Charakteristika a financovanie ŠSP. Sústava štátnych sociálnych dávok. Dávková schéma, dávková formula. Konanie vo veciach štátnej sociálnej podpory.</w:t>
      </w:r>
    </w:p>
    <w:p w14:paraId="7CDBAC20" w14:textId="77777777" w:rsidR="00784ABC" w:rsidRDefault="00784ABC" w:rsidP="009C7E23">
      <w:pPr>
        <w:ind w:firstLine="0"/>
      </w:pPr>
    </w:p>
    <w:p w14:paraId="419050A0" w14:textId="26B9487E" w:rsidR="00784ABC" w:rsidRPr="0028034C" w:rsidRDefault="00784ABC" w:rsidP="009C7E23">
      <w:pPr>
        <w:ind w:firstLine="0"/>
        <w:rPr>
          <w:b/>
          <w:bCs/>
          <w:color w:val="1F497D" w:themeColor="text2"/>
        </w:rPr>
      </w:pPr>
      <w:r w:rsidRPr="0028034C">
        <w:rPr>
          <w:b/>
          <w:bCs/>
          <w:color w:val="1F497D" w:themeColor="text2"/>
        </w:rPr>
        <w:t xml:space="preserve">Seminár: </w:t>
      </w:r>
      <w:r w:rsidR="00B30FB0">
        <w:rPr>
          <w:b/>
          <w:bCs/>
          <w:color w:val="1F497D" w:themeColor="text2"/>
        </w:rPr>
        <w:t>téma č. 3 a 4</w:t>
      </w:r>
    </w:p>
    <w:p w14:paraId="462FF0C1" w14:textId="77777777" w:rsidR="00784ABC" w:rsidRPr="005C671D" w:rsidRDefault="00784ABC" w:rsidP="005F12A7">
      <w:pPr>
        <w:ind w:firstLine="0"/>
        <w:rPr>
          <w:b/>
          <w:bCs/>
          <w:color w:val="FF0000"/>
          <w:lang w:eastAsia="sk-SK"/>
        </w:rPr>
      </w:pPr>
    </w:p>
    <w:p w14:paraId="59836816" w14:textId="27C3BA73" w:rsidR="005F12A7" w:rsidRPr="005C671D" w:rsidRDefault="00B248D3" w:rsidP="005F12A7">
      <w:pPr>
        <w:ind w:firstLine="0"/>
        <w:rPr>
          <w:bCs/>
          <w:i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>01</w:t>
      </w:r>
      <w:r w:rsidR="005F12A7" w:rsidRPr="005C671D">
        <w:rPr>
          <w:b/>
          <w:bCs/>
          <w:color w:val="FF0000"/>
          <w:lang w:eastAsia="sk-SK"/>
        </w:rPr>
        <w:t xml:space="preserve">. 11. </w:t>
      </w:r>
      <w:r w:rsidR="00784ABC">
        <w:rPr>
          <w:b/>
          <w:bCs/>
          <w:color w:val="FF0000"/>
          <w:lang w:eastAsia="sk-SK"/>
        </w:rPr>
        <w:t>202</w:t>
      </w:r>
      <w:r>
        <w:rPr>
          <w:b/>
          <w:bCs/>
          <w:color w:val="FF0000"/>
          <w:lang w:eastAsia="sk-SK"/>
        </w:rPr>
        <w:t>4 Štátny sviatok</w:t>
      </w:r>
      <w:r w:rsidR="005F12A7" w:rsidRPr="005C671D">
        <w:rPr>
          <w:b/>
          <w:bCs/>
          <w:color w:val="FF0000"/>
          <w:lang w:eastAsia="sk-SK"/>
        </w:rPr>
        <w:t xml:space="preserve"> </w:t>
      </w:r>
    </w:p>
    <w:p w14:paraId="5921558B" w14:textId="77777777" w:rsidR="005F12A7" w:rsidRPr="005C671D" w:rsidRDefault="005F12A7" w:rsidP="005F12A7">
      <w:pPr>
        <w:ind w:firstLine="0"/>
        <w:rPr>
          <w:b/>
          <w:bCs/>
          <w:color w:val="FF0000"/>
          <w:lang w:eastAsia="sk-SK"/>
        </w:rPr>
      </w:pPr>
    </w:p>
    <w:p w14:paraId="549179DD" w14:textId="584BE916" w:rsidR="005F12A7" w:rsidRDefault="005F12A7" w:rsidP="005F12A7">
      <w:pPr>
        <w:ind w:firstLine="0"/>
        <w:rPr>
          <w:b/>
          <w:bCs/>
          <w:iCs/>
          <w:color w:val="FF0000"/>
          <w:lang w:eastAsia="sk-SK"/>
        </w:rPr>
      </w:pPr>
      <w:r w:rsidRPr="005C671D">
        <w:rPr>
          <w:b/>
          <w:bCs/>
          <w:color w:val="FF0000"/>
          <w:lang w:eastAsia="sk-SK"/>
        </w:rPr>
        <w:t>1</w:t>
      </w:r>
      <w:r w:rsidR="00B248D3">
        <w:rPr>
          <w:b/>
          <w:bCs/>
          <w:color w:val="FF0000"/>
          <w:lang w:eastAsia="sk-SK"/>
        </w:rPr>
        <w:t>5</w:t>
      </w:r>
      <w:r w:rsidRPr="005C671D">
        <w:rPr>
          <w:b/>
          <w:bCs/>
          <w:color w:val="FF0000"/>
          <w:lang w:eastAsia="sk-SK"/>
        </w:rPr>
        <w:t xml:space="preserve">. 11. </w:t>
      </w:r>
      <w:r w:rsidR="00784ABC">
        <w:rPr>
          <w:b/>
          <w:bCs/>
          <w:color w:val="FF0000"/>
          <w:lang w:eastAsia="sk-SK"/>
        </w:rPr>
        <w:t>2023</w:t>
      </w:r>
      <w:r w:rsidRPr="005C671D">
        <w:rPr>
          <w:b/>
          <w:bCs/>
          <w:color w:val="FF0000"/>
          <w:lang w:eastAsia="sk-SK"/>
        </w:rPr>
        <w:t xml:space="preserve"> </w:t>
      </w:r>
      <w:r w:rsidR="00B30FB0">
        <w:rPr>
          <w:bCs/>
          <w:iCs/>
          <w:color w:val="FF0000"/>
          <w:lang w:eastAsia="sk-SK"/>
        </w:rPr>
        <w:t xml:space="preserve"> </w:t>
      </w:r>
    </w:p>
    <w:p w14:paraId="77299E33" w14:textId="77777777" w:rsidR="00B248D3" w:rsidRDefault="00B248D3" w:rsidP="00B248D3">
      <w:pPr>
        <w:ind w:firstLine="0"/>
      </w:pPr>
      <w:r w:rsidRPr="007C6F71">
        <w:rPr>
          <w:b/>
          <w:iCs/>
          <w:lang w:eastAsia="sk-SK"/>
        </w:rPr>
        <w:t>7.</w:t>
      </w:r>
      <w:r w:rsidRPr="005C671D">
        <w:rPr>
          <w:iCs/>
          <w:color w:val="0D0D0D"/>
          <w:lang w:eastAsia="sk-SK"/>
        </w:rPr>
        <w:t xml:space="preserve"> </w:t>
      </w:r>
      <w:r>
        <w:rPr>
          <w:b/>
        </w:rPr>
        <w:t xml:space="preserve">Invalidita, staroba a smrť. </w:t>
      </w:r>
      <w:r w:rsidRPr="00E56F61">
        <w:t>Systém dávok dôchodkovéh</w:t>
      </w:r>
      <w:r>
        <w:t>o poistenia</w:t>
      </w:r>
      <w:r w:rsidRPr="00E56F61">
        <w:t>. Invalidita – pojem a koncepcie invalidity. Dočasná a dlhodobá pracovná neschopnosť a invalidita. Dôchodky pozostalých – vdovský, vdovecký, sirotský.</w:t>
      </w:r>
      <w:r w:rsidRPr="004962A6">
        <w:t xml:space="preserve"> </w:t>
      </w:r>
      <w:r w:rsidRPr="00E56F61">
        <w:t>Príspevok na pohreb – oprávnená osoba, podmienky nároku a uplatnenie nároku.</w:t>
      </w:r>
    </w:p>
    <w:p w14:paraId="12A6F1DB" w14:textId="77777777" w:rsidR="00B248D3" w:rsidRPr="00B30FB0" w:rsidRDefault="00B248D3" w:rsidP="00B248D3">
      <w:pPr>
        <w:ind w:firstLine="0"/>
      </w:pPr>
      <w:r>
        <w:rPr>
          <w:b/>
        </w:rPr>
        <w:t xml:space="preserve">8. Invalidita, staroba a smrť. </w:t>
      </w:r>
      <w:r w:rsidRPr="00E56F61">
        <w:t>Starobný dôchodok a predčasný starobný dôchodok</w:t>
      </w:r>
      <w:r>
        <w:t xml:space="preserve">. Pracovná schopnosť a staroba. </w:t>
      </w:r>
      <w:r w:rsidRPr="00E56F61">
        <w:t xml:space="preserve">Dôchodkový vek a výkon zamestnania. Súbeh mzdy a dôchodku. </w:t>
      </w:r>
      <w:proofErr w:type="spellStart"/>
      <w:r w:rsidRPr="00E56F61">
        <w:t>Viaczdrojovosť</w:t>
      </w:r>
      <w:proofErr w:type="spellEnd"/>
      <w:r w:rsidRPr="00E56F61">
        <w:t xml:space="preserve"> v dôchodkovom systéme – dôvody a účel.</w:t>
      </w:r>
    </w:p>
    <w:p w14:paraId="2999249E" w14:textId="77777777" w:rsidR="00B248D3" w:rsidRDefault="00B248D3" w:rsidP="00B248D3">
      <w:pPr>
        <w:ind w:firstLine="0"/>
      </w:pPr>
    </w:p>
    <w:p w14:paraId="731E94DE" w14:textId="77777777" w:rsidR="00B248D3" w:rsidRPr="00784ABC" w:rsidRDefault="00B248D3" w:rsidP="00B248D3">
      <w:pPr>
        <w:ind w:firstLine="0"/>
        <w:rPr>
          <w:b/>
          <w:bCs/>
        </w:rPr>
      </w:pPr>
      <w:r>
        <w:rPr>
          <w:b/>
          <w:bCs/>
          <w:color w:val="1F497D" w:themeColor="text2"/>
        </w:rPr>
        <w:t>Seminár: téma č. 5 a 6</w:t>
      </w:r>
    </w:p>
    <w:p w14:paraId="0A3A8B0E" w14:textId="77777777" w:rsidR="00B248D3" w:rsidRPr="00B30FB0" w:rsidRDefault="00B248D3" w:rsidP="005F12A7">
      <w:pPr>
        <w:ind w:firstLine="0"/>
        <w:rPr>
          <w:bCs/>
          <w:iCs/>
          <w:color w:val="FF0000"/>
          <w:lang w:eastAsia="sk-SK"/>
        </w:rPr>
      </w:pPr>
    </w:p>
    <w:p w14:paraId="11EE1CFA" w14:textId="77777777" w:rsidR="008D7FFD" w:rsidRDefault="008D7FFD" w:rsidP="007C6F71">
      <w:pPr>
        <w:ind w:firstLine="0"/>
        <w:rPr>
          <w:b/>
          <w:iCs/>
          <w:lang w:eastAsia="sk-SK"/>
        </w:rPr>
      </w:pPr>
    </w:p>
    <w:p w14:paraId="46195A9B" w14:textId="2F1D9409" w:rsidR="008D7FFD" w:rsidRPr="00B30FB0" w:rsidRDefault="00B248D3" w:rsidP="007C6F71">
      <w:pPr>
        <w:ind w:firstLine="0"/>
        <w:rPr>
          <w:bCs/>
          <w:i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>29</w:t>
      </w:r>
      <w:r w:rsidR="008D7FFD" w:rsidRPr="005C671D">
        <w:rPr>
          <w:b/>
          <w:bCs/>
          <w:color w:val="FF0000"/>
          <w:lang w:eastAsia="sk-SK"/>
        </w:rPr>
        <w:t>. 1</w:t>
      </w:r>
      <w:r>
        <w:rPr>
          <w:b/>
          <w:bCs/>
          <w:color w:val="FF0000"/>
          <w:lang w:eastAsia="sk-SK"/>
        </w:rPr>
        <w:t>1</w:t>
      </w:r>
      <w:r w:rsidR="008D7FFD" w:rsidRPr="005C671D">
        <w:rPr>
          <w:b/>
          <w:bCs/>
          <w:color w:val="FF0000"/>
          <w:lang w:eastAsia="sk-SK"/>
        </w:rPr>
        <w:t xml:space="preserve">. </w:t>
      </w:r>
      <w:r w:rsidR="008D7FFD">
        <w:rPr>
          <w:b/>
          <w:bCs/>
          <w:color w:val="FF0000"/>
          <w:lang w:eastAsia="sk-SK"/>
        </w:rPr>
        <w:t>202</w:t>
      </w:r>
      <w:r>
        <w:rPr>
          <w:b/>
          <w:bCs/>
          <w:color w:val="FF0000"/>
          <w:lang w:eastAsia="sk-SK"/>
        </w:rPr>
        <w:t>4</w:t>
      </w:r>
      <w:r w:rsidR="008D7FFD" w:rsidRPr="005C671D">
        <w:rPr>
          <w:b/>
          <w:bCs/>
          <w:color w:val="FF0000"/>
          <w:lang w:eastAsia="sk-SK"/>
        </w:rPr>
        <w:t xml:space="preserve"> </w:t>
      </w:r>
    </w:p>
    <w:p w14:paraId="579F5FC4" w14:textId="1672C8E6" w:rsidR="00B30FB0" w:rsidRDefault="00B30FB0" w:rsidP="00B30FB0">
      <w:pPr>
        <w:ind w:firstLine="0"/>
      </w:pPr>
      <w:r>
        <w:rPr>
          <w:b/>
          <w:iCs/>
          <w:lang w:eastAsia="sk-SK"/>
        </w:rPr>
        <w:t>9</w:t>
      </w:r>
      <w:r w:rsidRPr="007C6F71">
        <w:rPr>
          <w:b/>
          <w:iCs/>
          <w:lang w:eastAsia="sk-SK"/>
        </w:rPr>
        <w:t>.</w:t>
      </w:r>
      <w:r w:rsidRPr="005C671D">
        <w:rPr>
          <w:iCs/>
          <w:color w:val="0D0D0D"/>
          <w:lang w:eastAsia="sk-SK"/>
        </w:rPr>
        <w:t xml:space="preserve"> </w:t>
      </w:r>
      <w:r>
        <w:rPr>
          <w:b/>
        </w:rPr>
        <w:t xml:space="preserve">Pracovný úraz a choroba </w:t>
      </w:r>
      <w:r w:rsidRPr="00E56F61">
        <w:rPr>
          <w:b/>
        </w:rPr>
        <w:t xml:space="preserve">z povolania. </w:t>
      </w:r>
      <w:r w:rsidRPr="00E56F61">
        <w:t>Subj</w:t>
      </w:r>
      <w:r>
        <w:t xml:space="preserve">ekty právnych vzťahov úrazového poistenia. </w:t>
      </w:r>
      <w:r w:rsidRPr="00E56F61">
        <w:t xml:space="preserve">Dávková schéma a dávková formula jednotlivých dávok úrazového </w:t>
      </w:r>
      <w:r>
        <w:t>poistenia.</w:t>
      </w:r>
    </w:p>
    <w:p w14:paraId="4A4C8587" w14:textId="06287CAD" w:rsidR="005F12A7" w:rsidRDefault="000B6FE7" w:rsidP="005F12A7">
      <w:pPr>
        <w:ind w:firstLine="0"/>
      </w:pPr>
      <w:r w:rsidRPr="007C6F71">
        <w:rPr>
          <w:b/>
          <w:iCs/>
          <w:lang w:eastAsia="sk-SK"/>
        </w:rPr>
        <w:t>10</w:t>
      </w:r>
      <w:r w:rsidR="005F12A7" w:rsidRPr="007C6F71">
        <w:rPr>
          <w:b/>
          <w:iCs/>
          <w:lang w:eastAsia="sk-SK"/>
        </w:rPr>
        <w:t>.</w:t>
      </w:r>
      <w:r w:rsidR="005F12A7" w:rsidRPr="005C671D">
        <w:rPr>
          <w:iCs/>
          <w:color w:val="0D0D0D"/>
          <w:lang w:eastAsia="sk-SK"/>
        </w:rPr>
        <w:t xml:space="preserve"> </w:t>
      </w:r>
      <w:r w:rsidR="007C6F71" w:rsidRPr="00E56F61">
        <w:rPr>
          <w:b/>
        </w:rPr>
        <w:t>Insolventnosť zamestnávateľa. Nezamestnanosť.</w:t>
      </w:r>
      <w:r w:rsidR="007C6F71">
        <w:rPr>
          <w:b/>
        </w:rPr>
        <w:t xml:space="preserve"> </w:t>
      </w:r>
      <w:r w:rsidR="007C6F71" w:rsidRPr="00E56F61">
        <w:t>Subjekty právnych vzťahov garančného poistenia a poistenia v nezamestnanosti. Dávková schéma a dávková formula jednotlivých dávok garančného poistenia a poistenia v nezamestnanosti.</w:t>
      </w:r>
    </w:p>
    <w:p w14:paraId="4F9CAAA8" w14:textId="77777777" w:rsidR="0028034C" w:rsidRDefault="0028034C" w:rsidP="005F12A7">
      <w:pPr>
        <w:ind w:firstLine="0"/>
      </w:pPr>
    </w:p>
    <w:p w14:paraId="20293062" w14:textId="6E1FB41C" w:rsidR="0028034C" w:rsidRPr="0028034C" w:rsidRDefault="00B30FB0" w:rsidP="005F12A7">
      <w:pPr>
        <w:ind w:firstLine="0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 xml:space="preserve">Seminár: </w:t>
      </w:r>
      <w:r w:rsidR="009B0793" w:rsidRPr="0028034C">
        <w:rPr>
          <w:b/>
          <w:iCs/>
          <w:color w:val="1F497D" w:themeColor="text2"/>
          <w:lang w:eastAsia="sk-SK"/>
        </w:rPr>
        <w:t>klasifikované hodnotenie</w:t>
      </w:r>
      <w:r w:rsidR="009B0793" w:rsidRPr="0028034C">
        <w:rPr>
          <w:b/>
          <w:bCs/>
          <w:color w:val="1F497D" w:themeColor="text2"/>
        </w:rPr>
        <w:t xml:space="preserve"> </w:t>
      </w:r>
      <w:r w:rsidR="009B0793">
        <w:rPr>
          <w:b/>
          <w:bCs/>
          <w:color w:val="1F497D" w:themeColor="text2"/>
        </w:rPr>
        <w:t xml:space="preserve">+ </w:t>
      </w:r>
      <w:r w:rsidR="0028034C" w:rsidRPr="0028034C">
        <w:rPr>
          <w:b/>
          <w:bCs/>
          <w:color w:val="1F497D" w:themeColor="text2"/>
        </w:rPr>
        <w:t>téma</w:t>
      </w:r>
      <w:r>
        <w:rPr>
          <w:b/>
          <w:bCs/>
          <w:color w:val="1F497D" w:themeColor="text2"/>
        </w:rPr>
        <w:t xml:space="preserve"> č. 7 a 8</w:t>
      </w:r>
    </w:p>
    <w:p w14:paraId="14D4A2E5" w14:textId="77777777" w:rsidR="005F12A7" w:rsidRPr="005C671D" w:rsidRDefault="005F12A7" w:rsidP="005F12A7">
      <w:pPr>
        <w:ind w:firstLine="0"/>
        <w:rPr>
          <w:b/>
          <w:bCs/>
          <w:color w:val="FF0000"/>
          <w:lang w:eastAsia="sk-SK"/>
        </w:rPr>
      </w:pPr>
    </w:p>
    <w:p w14:paraId="755F13D2" w14:textId="27B03660" w:rsidR="0028034C" w:rsidRPr="009B0793" w:rsidRDefault="00784ABC" w:rsidP="005F12A7">
      <w:pPr>
        <w:ind w:firstLine="0"/>
        <w:rPr>
          <w:b/>
          <w:bCs/>
          <w:color w:val="FF0000"/>
          <w:lang w:eastAsia="sk-SK"/>
        </w:rPr>
      </w:pPr>
      <w:r>
        <w:rPr>
          <w:b/>
          <w:bCs/>
          <w:color w:val="FF0000"/>
          <w:lang w:eastAsia="sk-SK"/>
        </w:rPr>
        <w:t>1</w:t>
      </w:r>
      <w:r w:rsidR="00B248D3">
        <w:rPr>
          <w:b/>
          <w:bCs/>
          <w:color w:val="FF0000"/>
          <w:lang w:eastAsia="sk-SK"/>
        </w:rPr>
        <w:t>3</w:t>
      </w:r>
      <w:r w:rsidR="005F12A7" w:rsidRPr="005C671D">
        <w:rPr>
          <w:b/>
          <w:bCs/>
          <w:color w:val="FF0000"/>
          <w:lang w:eastAsia="sk-SK"/>
        </w:rPr>
        <w:t xml:space="preserve">. 12. </w:t>
      </w:r>
      <w:r>
        <w:rPr>
          <w:b/>
          <w:bCs/>
          <w:color w:val="FF0000"/>
          <w:lang w:eastAsia="sk-SK"/>
        </w:rPr>
        <w:t>202</w:t>
      </w:r>
      <w:r w:rsidR="00B248D3">
        <w:rPr>
          <w:b/>
          <w:bCs/>
          <w:color w:val="FF0000"/>
          <w:lang w:eastAsia="sk-SK"/>
        </w:rPr>
        <w:t>4</w:t>
      </w:r>
      <w:r w:rsidR="005F12A7" w:rsidRPr="005C671D">
        <w:rPr>
          <w:b/>
          <w:bCs/>
          <w:color w:val="FF0000"/>
          <w:lang w:eastAsia="sk-SK"/>
        </w:rPr>
        <w:t xml:space="preserve"> </w:t>
      </w:r>
    </w:p>
    <w:p w14:paraId="73776CC9" w14:textId="27D3DB1B" w:rsidR="0028034C" w:rsidRPr="009B0793" w:rsidRDefault="0028034C" w:rsidP="0028034C">
      <w:pPr>
        <w:ind w:firstLine="0"/>
      </w:pPr>
      <w:r w:rsidRPr="007C6F71">
        <w:rPr>
          <w:b/>
          <w:iCs/>
          <w:lang w:eastAsia="sk-SK"/>
        </w:rPr>
        <w:t>11.</w:t>
      </w:r>
      <w:r>
        <w:rPr>
          <w:iCs/>
          <w:lang w:eastAsia="sk-SK"/>
        </w:rPr>
        <w:t xml:space="preserve"> </w:t>
      </w:r>
      <w:r w:rsidRPr="00E56F61">
        <w:rPr>
          <w:b/>
        </w:rPr>
        <w:t>Nedostatočný príjem a hmotná núdza.</w:t>
      </w:r>
      <w:r>
        <w:rPr>
          <w:b/>
        </w:rPr>
        <w:t xml:space="preserve"> </w:t>
      </w:r>
      <w:r w:rsidRPr="00E56F61">
        <w:t>Sociálna pomoc, charakteristika systému a jeho financovanie. Hmotná núdza. Posudzovanie hmotnej núdze. Dávky a príspevky v hmotnej núdzi. Životné minimum.</w:t>
      </w:r>
    </w:p>
    <w:p w14:paraId="7C36D13A" w14:textId="16E84FF6" w:rsidR="005F12A7" w:rsidRDefault="000B6FE7" w:rsidP="005F12A7">
      <w:pPr>
        <w:ind w:firstLine="0"/>
      </w:pPr>
      <w:r w:rsidRPr="007C6F71">
        <w:rPr>
          <w:b/>
          <w:iCs/>
          <w:lang w:eastAsia="sk-SK"/>
        </w:rPr>
        <w:t>12</w:t>
      </w:r>
      <w:r w:rsidR="005F12A7" w:rsidRPr="007C6F71">
        <w:rPr>
          <w:b/>
          <w:iCs/>
          <w:lang w:eastAsia="sk-SK"/>
        </w:rPr>
        <w:t>.</w:t>
      </w:r>
      <w:r w:rsidR="005F12A7" w:rsidRPr="005C671D">
        <w:rPr>
          <w:iCs/>
          <w:color w:val="0D0D0D"/>
          <w:lang w:eastAsia="sk-SK"/>
        </w:rPr>
        <w:t xml:space="preserve"> </w:t>
      </w:r>
      <w:r w:rsidR="00427AF2" w:rsidRPr="00427AF2">
        <w:rPr>
          <w:b/>
          <w:iCs/>
          <w:color w:val="0D0D0D"/>
          <w:lang w:eastAsia="sk-SK"/>
        </w:rPr>
        <w:t>Zdravotné postihnutie.</w:t>
      </w:r>
      <w:r w:rsidR="00427AF2">
        <w:rPr>
          <w:iCs/>
          <w:color w:val="0D0D0D"/>
          <w:lang w:eastAsia="sk-SK"/>
        </w:rPr>
        <w:t xml:space="preserve"> </w:t>
      </w:r>
      <w:r w:rsidR="004962A6" w:rsidRPr="00E56F61">
        <w:t>Postavenie občana so zdravotným postihnutím v systéme sociálneho zabezpečenia.</w:t>
      </w:r>
      <w:r w:rsidR="004962A6">
        <w:t xml:space="preserve"> </w:t>
      </w:r>
      <w:r w:rsidR="004962A6" w:rsidRPr="00E56F61">
        <w:t xml:space="preserve">Ťažké zdravotné postihnutie. </w:t>
      </w:r>
      <w:r w:rsidR="00427AF2">
        <w:t>Sociálne služby.</w:t>
      </w:r>
    </w:p>
    <w:p w14:paraId="19093898" w14:textId="77777777" w:rsidR="00F27892" w:rsidRDefault="00F27892" w:rsidP="005F12A7">
      <w:pPr>
        <w:ind w:firstLine="0"/>
      </w:pPr>
    </w:p>
    <w:p w14:paraId="7BBE512F" w14:textId="4FAEF2BF" w:rsidR="00F27892" w:rsidRPr="00F27892" w:rsidRDefault="00F27892" w:rsidP="005F12A7">
      <w:pPr>
        <w:ind w:firstLine="0"/>
        <w:rPr>
          <w:iCs/>
          <w:color w:val="1F497D" w:themeColor="text2"/>
          <w:lang w:eastAsia="sk-SK"/>
        </w:rPr>
      </w:pPr>
      <w:r w:rsidRPr="0028034C">
        <w:rPr>
          <w:b/>
          <w:iCs/>
          <w:color w:val="1F497D" w:themeColor="text2"/>
          <w:lang w:eastAsia="sk-SK"/>
        </w:rPr>
        <w:t>Seminár: klasifikované hodnotenie</w:t>
      </w:r>
      <w:r>
        <w:rPr>
          <w:b/>
          <w:iCs/>
          <w:color w:val="1F497D" w:themeColor="text2"/>
          <w:lang w:eastAsia="sk-SK"/>
        </w:rPr>
        <w:t xml:space="preserve"> – opravný termín</w:t>
      </w:r>
      <w:r w:rsidR="009B0793">
        <w:rPr>
          <w:b/>
          <w:iCs/>
          <w:color w:val="1F497D" w:themeColor="text2"/>
          <w:lang w:eastAsia="sk-SK"/>
        </w:rPr>
        <w:t xml:space="preserve"> </w:t>
      </w:r>
      <w:r w:rsidR="009B0793">
        <w:rPr>
          <w:b/>
          <w:bCs/>
          <w:color w:val="1F497D" w:themeColor="text2"/>
        </w:rPr>
        <w:t xml:space="preserve">+ </w:t>
      </w:r>
      <w:r w:rsidR="009B0793" w:rsidRPr="0028034C">
        <w:rPr>
          <w:b/>
          <w:bCs/>
          <w:color w:val="1F497D" w:themeColor="text2"/>
        </w:rPr>
        <w:t>téma</w:t>
      </w:r>
      <w:r w:rsidR="009B0793">
        <w:rPr>
          <w:b/>
          <w:bCs/>
          <w:color w:val="1F497D" w:themeColor="text2"/>
        </w:rPr>
        <w:t xml:space="preserve"> č. 9 a 10</w:t>
      </w:r>
    </w:p>
    <w:p w14:paraId="2260A4B1" w14:textId="5A43B2B1" w:rsidR="002A7ED8" w:rsidRPr="007C6F71" w:rsidRDefault="005F12A7" w:rsidP="009C7E23">
      <w:pPr>
        <w:ind w:firstLine="0"/>
        <w:rPr>
          <w:iCs/>
          <w:lang w:eastAsia="sk-SK"/>
        </w:rPr>
      </w:pPr>
      <w:r w:rsidRPr="005C671D">
        <w:rPr>
          <w:iCs/>
          <w:lang w:eastAsia="sk-SK"/>
        </w:rPr>
        <w:t xml:space="preserve"> </w:t>
      </w:r>
    </w:p>
    <w:p w14:paraId="5576B4F8" w14:textId="6944D75B" w:rsidR="003740B5" w:rsidRPr="005C671D" w:rsidRDefault="000B6FE7" w:rsidP="003740B5">
      <w:pPr>
        <w:pStyle w:val="Zkladntext"/>
        <w:jc w:val="both"/>
        <w:rPr>
          <w:i/>
          <w:iCs/>
        </w:rPr>
      </w:pPr>
      <w:r w:rsidRPr="005C671D">
        <w:rPr>
          <w:i/>
          <w:iCs/>
        </w:rPr>
        <w:t>L</w:t>
      </w:r>
      <w:r w:rsidR="003740B5" w:rsidRPr="005C671D">
        <w:rPr>
          <w:i/>
          <w:iCs/>
        </w:rPr>
        <w:t>iteratúra:</w:t>
      </w:r>
    </w:p>
    <w:p w14:paraId="01751AD5" w14:textId="1BB99AF0" w:rsidR="00C64A02" w:rsidRPr="005C671D" w:rsidRDefault="00C64A02" w:rsidP="000B6FE7">
      <w:pPr>
        <w:pStyle w:val="Zkladntext"/>
        <w:jc w:val="both"/>
        <w:rPr>
          <w:b w:val="0"/>
          <w:bCs w:val="0"/>
        </w:rPr>
      </w:pPr>
    </w:p>
    <w:p w14:paraId="1636B410" w14:textId="77777777" w:rsidR="000B6FE7" w:rsidRPr="005C671D" w:rsidRDefault="000B6FE7" w:rsidP="000B6FE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rPr>
          <w:szCs w:val="24"/>
        </w:rPr>
      </w:pPr>
      <w:r w:rsidRPr="005C671D">
        <w:rPr>
          <w:caps/>
          <w:szCs w:val="24"/>
        </w:rPr>
        <w:t>Macková</w:t>
      </w:r>
      <w:r w:rsidRPr="005C671D">
        <w:rPr>
          <w:szCs w:val="24"/>
        </w:rPr>
        <w:t xml:space="preserve">, Z. </w:t>
      </w:r>
      <w:proofErr w:type="spellStart"/>
      <w:r w:rsidRPr="005C671D">
        <w:rPr>
          <w:szCs w:val="24"/>
        </w:rPr>
        <w:t>Repetitórium</w:t>
      </w:r>
      <w:proofErr w:type="spellEnd"/>
      <w:r w:rsidRPr="005C671D">
        <w:rPr>
          <w:szCs w:val="24"/>
        </w:rPr>
        <w:t xml:space="preserve"> práva sociálneho zabezpečenia. IURIS LIBRI, s.r.o.,2016</w:t>
      </w:r>
    </w:p>
    <w:p w14:paraId="4BA6812F" w14:textId="77777777" w:rsidR="000B6FE7" w:rsidRPr="005C671D" w:rsidRDefault="000B6FE7" w:rsidP="000B6FE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rPr>
          <w:szCs w:val="24"/>
        </w:rPr>
      </w:pPr>
      <w:r w:rsidRPr="005C671D">
        <w:rPr>
          <w:szCs w:val="24"/>
        </w:rPr>
        <w:t xml:space="preserve">MATLÁK, J. a kol. Právo sociálneho zabezpečenia. Plzeň: Aleš </w:t>
      </w:r>
      <w:proofErr w:type="spellStart"/>
      <w:r w:rsidRPr="005C671D">
        <w:rPr>
          <w:szCs w:val="24"/>
        </w:rPr>
        <w:t>Čeněk</w:t>
      </w:r>
      <w:proofErr w:type="spellEnd"/>
      <w:r w:rsidRPr="005C671D">
        <w:rPr>
          <w:szCs w:val="24"/>
        </w:rPr>
        <w:t>, 2012, s. 356</w:t>
      </w:r>
    </w:p>
    <w:p w14:paraId="4DB6CAD4" w14:textId="77777777" w:rsidR="000B6FE7" w:rsidRPr="005C671D" w:rsidRDefault="000B6FE7" w:rsidP="000B6FE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rPr>
          <w:szCs w:val="24"/>
        </w:rPr>
      </w:pPr>
      <w:r w:rsidRPr="005C671D">
        <w:rPr>
          <w:szCs w:val="24"/>
        </w:rPr>
        <w:t xml:space="preserve">KRIPPEL, M. Príklady zo sociálneho poistenia (Dávkové vzťahy). </w:t>
      </w:r>
      <w:proofErr w:type="spellStart"/>
      <w:r w:rsidRPr="005C671D">
        <w:rPr>
          <w:szCs w:val="24"/>
        </w:rPr>
        <w:t>Leges</w:t>
      </w:r>
      <w:proofErr w:type="spellEnd"/>
      <w:r w:rsidRPr="005C671D">
        <w:rPr>
          <w:szCs w:val="24"/>
        </w:rPr>
        <w:t xml:space="preserve">, s.r.o., Praha, 2014, s. 272 </w:t>
      </w:r>
    </w:p>
    <w:p w14:paraId="78901049" w14:textId="3D7A2012" w:rsidR="000B6FE7" w:rsidRDefault="000B6FE7" w:rsidP="000B6FE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rPr>
          <w:szCs w:val="24"/>
        </w:rPr>
      </w:pPr>
      <w:r w:rsidRPr="005C671D">
        <w:rPr>
          <w:szCs w:val="24"/>
        </w:rPr>
        <w:t>MACKOVÁ, Z. Právo sociálneho zabezpečenia. Osobitná časť. Štátne sociálne dávky s príkladmi. 2. vydanie.</w:t>
      </w:r>
      <w:r w:rsidR="007C6F71">
        <w:rPr>
          <w:szCs w:val="24"/>
        </w:rPr>
        <w:t xml:space="preserve"> Šamorín: Heuréka, 2015, s. 175.</w:t>
      </w:r>
    </w:p>
    <w:p w14:paraId="112D2D48" w14:textId="7D38D171" w:rsidR="007C6F71" w:rsidRPr="00500469" w:rsidRDefault="007C6F71" w:rsidP="007C6F71">
      <w:pPr>
        <w:pStyle w:val="Odsekzoznamu"/>
        <w:numPr>
          <w:ilvl w:val="0"/>
          <w:numId w:val="13"/>
        </w:numPr>
        <w:spacing w:after="0"/>
        <w:jc w:val="both"/>
        <w:rPr>
          <w:szCs w:val="24"/>
        </w:rPr>
      </w:pPr>
      <w:r w:rsidRPr="00500469">
        <w:rPr>
          <w:caps/>
          <w:szCs w:val="24"/>
        </w:rPr>
        <w:t>Hodálová</w:t>
      </w:r>
      <w:r>
        <w:rPr>
          <w:szCs w:val="24"/>
        </w:rPr>
        <w:t xml:space="preserve">, I. a kol.: Prípadové štúdie z pracovného práva a práva sociálneho zabezpečenia, 2010. </w:t>
      </w:r>
    </w:p>
    <w:p w14:paraId="0D2ED55D" w14:textId="07C7E972" w:rsidR="007C6F71" w:rsidRPr="00500469" w:rsidRDefault="007C6F71" w:rsidP="007C6F71">
      <w:pPr>
        <w:pStyle w:val="Odsekzoznamu"/>
        <w:numPr>
          <w:ilvl w:val="0"/>
          <w:numId w:val="13"/>
        </w:numPr>
        <w:spacing w:after="0"/>
        <w:jc w:val="both"/>
        <w:rPr>
          <w:szCs w:val="24"/>
        </w:rPr>
      </w:pPr>
      <w:r w:rsidRPr="00500469">
        <w:rPr>
          <w:caps/>
          <w:szCs w:val="24"/>
          <w:shd w:val="clear" w:color="auto" w:fill="FFFFFF"/>
        </w:rPr>
        <w:t>Dolobáč</w:t>
      </w:r>
      <w:r>
        <w:rPr>
          <w:szCs w:val="24"/>
          <w:shd w:val="clear" w:color="auto" w:fill="FFFFFF"/>
        </w:rPr>
        <w:t xml:space="preserve">, M. a kol.: Vybrané otázky sociálneho práva Európskej únie. Košice: UPJŠ v Košiciach, 2012. </w:t>
      </w:r>
    </w:p>
    <w:p w14:paraId="736D26E5" w14:textId="593F7015" w:rsidR="007C6F71" w:rsidRPr="007C6F71" w:rsidRDefault="007C6F71" w:rsidP="007C6F71">
      <w:pPr>
        <w:pStyle w:val="Odsekzoznamu"/>
        <w:numPr>
          <w:ilvl w:val="0"/>
          <w:numId w:val="13"/>
        </w:numPr>
        <w:spacing w:after="0"/>
        <w:jc w:val="both"/>
        <w:rPr>
          <w:szCs w:val="24"/>
        </w:rPr>
      </w:pPr>
      <w:r w:rsidRPr="00500469">
        <w:rPr>
          <w:caps/>
          <w:szCs w:val="24"/>
          <w:shd w:val="clear" w:color="auto" w:fill="FFFFFF"/>
        </w:rPr>
        <w:t>Barancová</w:t>
      </w:r>
      <w:r w:rsidRPr="00500469">
        <w:rPr>
          <w:szCs w:val="24"/>
          <w:shd w:val="clear" w:color="auto" w:fill="FFFFFF"/>
        </w:rPr>
        <w:t>, H. a kol.: Pracovný pomer a poistný systém</w:t>
      </w:r>
      <w:r>
        <w:rPr>
          <w:szCs w:val="24"/>
          <w:shd w:val="clear" w:color="auto" w:fill="FFFFFF"/>
        </w:rPr>
        <w:t xml:space="preserve">. Trnava: </w:t>
      </w:r>
      <w:hyperlink r:id="rId8" w:history="1">
        <w:proofErr w:type="spellStart"/>
        <w:r w:rsidRPr="007C6F71">
          <w:rPr>
            <w:rStyle w:val="Hypertextovprepojenie"/>
            <w:color w:val="auto"/>
            <w:u w:val="none"/>
          </w:rPr>
          <w:t>Typi</w:t>
        </w:r>
        <w:proofErr w:type="spellEnd"/>
        <w:r w:rsidRPr="007C6F71">
          <w:rPr>
            <w:rStyle w:val="Hypertextovprepojenie"/>
            <w:color w:val="auto"/>
            <w:u w:val="none"/>
          </w:rPr>
          <w:t xml:space="preserve"> </w:t>
        </w:r>
        <w:proofErr w:type="spellStart"/>
        <w:r w:rsidRPr="007C6F71">
          <w:rPr>
            <w:rStyle w:val="Hypertextovprepojenie"/>
            <w:color w:val="auto"/>
            <w:u w:val="none"/>
          </w:rPr>
          <w:t>Universitatis</w:t>
        </w:r>
        <w:proofErr w:type="spellEnd"/>
        <w:r w:rsidRPr="007C6F71">
          <w:rPr>
            <w:rStyle w:val="Hypertextovprepojenie"/>
            <w:color w:val="auto"/>
            <w:u w:val="none"/>
          </w:rPr>
          <w:t xml:space="preserve"> TYRNAVIENSIS, VEDA</w:t>
        </w:r>
      </w:hyperlink>
      <w:r w:rsidRPr="00500469">
        <w:rPr>
          <w:color w:val="auto"/>
        </w:rPr>
        <w:t>, 2008</w:t>
      </w:r>
      <w:r>
        <w:rPr>
          <w:color w:val="auto"/>
        </w:rPr>
        <w:t>.</w:t>
      </w:r>
    </w:p>
    <w:p w14:paraId="179BA730" w14:textId="4240D9A9" w:rsidR="000B6FE7" w:rsidRPr="005C671D" w:rsidRDefault="000B6FE7" w:rsidP="000B6FE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rPr>
          <w:szCs w:val="24"/>
        </w:rPr>
      </w:pPr>
      <w:r w:rsidRPr="005C671D">
        <w:rPr>
          <w:szCs w:val="24"/>
        </w:rPr>
        <w:t>Platné a účinné právne predpisy.</w:t>
      </w:r>
    </w:p>
    <w:p w14:paraId="38CE8616" w14:textId="77777777" w:rsidR="005847A6" w:rsidRPr="005C671D" w:rsidRDefault="005847A6" w:rsidP="005847A6">
      <w:pPr>
        <w:pStyle w:val="Zkladntext"/>
        <w:jc w:val="both"/>
        <w:rPr>
          <w:b w:val="0"/>
          <w:bCs w:val="0"/>
        </w:rPr>
      </w:pPr>
    </w:p>
    <w:p w14:paraId="65FAD1E2" w14:textId="77777777" w:rsidR="005847A6" w:rsidRPr="005C671D" w:rsidRDefault="005847A6" w:rsidP="005847A6">
      <w:pPr>
        <w:ind w:left="4956"/>
      </w:pPr>
    </w:p>
    <w:p w14:paraId="6252A769" w14:textId="24678766" w:rsidR="005847A6" w:rsidRPr="005C671D" w:rsidRDefault="00280E4A" w:rsidP="007C6F71">
      <w:pPr>
        <w:ind w:firstLine="0"/>
      </w:pPr>
      <w:r w:rsidRPr="005C671D">
        <w:t xml:space="preserve">V Košiciach september </w:t>
      </w:r>
      <w:r w:rsidR="00784ABC">
        <w:t>202</w:t>
      </w:r>
      <w:r w:rsidR="00B248D3">
        <w:t>4</w:t>
      </w:r>
      <w:r w:rsidR="005847A6" w:rsidRPr="005C671D">
        <w:tab/>
      </w:r>
      <w:r w:rsidR="005847A6" w:rsidRPr="005C671D">
        <w:tab/>
      </w:r>
      <w:r w:rsidR="005847A6" w:rsidRPr="005C671D">
        <w:tab/>
      </w:r>
      <w:r w:rsidR="005847A6" w:rsidRPr="005C671D">
        <w:tab/>
      </w:r>
      <w:r w:rsidR="005847A6" w:rsidRPr="005C671D">
        <w:tab/>
      </w:r>
      <w:r w:rsidR="007C6F71">
        <w:tab/>
      </w:r>
      <w:r w:rsidR="001F5D18" w:rsidRPr="005C671D">
        <w:t xml:space="preserve">doc. </w:t>
      </w:r>
      <w:r w:rsidR="005847A6" w:rsidRPr="005C671D">
        <w:t xml:space="preserve">JUDr. Marcel Dolobáč, PhD. </w:t>
      </w:r>
    </w:p>
    <w:p w14:paraId="0860A17E" w14:textId="332F32D7" w:rsidR="005C671D" w:rsidRDefault="005847A6" w:rsidP="0001561C">
      <w:pPr>
        <w:ind w:left="708"/>
      </w:pP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Pr="005C671D">
        <w:tab/>
      </w:r>
      <w:r w:rsidR="001F5D18" w:rsidRPr="005C671D">
        <w:t xml:space="preserve">   </w:t>
      </w:r>
      <w:r w:rsidRPr="005C671D">
        <w:t>vedúci katedry</w:t>
      </w:r>
    </w:p>
    <w:p w14:paraId="693F0EFF" w14:textId="04F7FCCC" w:rsidR="006C58E6" w:rsidRPr="005C671D" w:rsidRDefault="006C58E6" w:rsidP="007C6F71">
      <w:pPr>
        <w:ind w:firstLine="0"/>
        <w:jc w:val="left"/>
      </w:pPr>
    </w:p>
    <w:sectPr w:rsidR="006C58E6" w:rsidRPr="005C671D" w:rsidSect="003C1F1E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A4"/>
    <w:multiLevelType w:val="hybridMultilevel"/>
    <w:tmpl w:val="0818F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63A"/>
    <w:multiLevelType w:val="hybridMultilevel"/>
    <w:tmpl w:val="F050B8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64507"/>
    <w:multiLevelType w:val="hybridMultilevel"/>
    <w:tmpl w:val="BE0449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181D"/>
    <w:multiLevelType w:val="multilevel"/>
    <w:tmpl w:val="4490C2E4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BE27EFC"/>
    <w:multiLevelType w:val="hybridMultilevel"/>
    <w:tmpl w:val="25EAF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85FC2"/>
    <w:multiLevelType w:val="hybridMultilevel"/>
    <w:tmpl w:val="BE1E372A"/>
    <w:lvl w:ilvl="0" w:tplc="993861A6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5522492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33754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64845"/>
    <w:multiLevelType w:val="hybridMultilevel"/>
    <w:tmpl w:val="32F06C12"/>
    <w:lvl w:ilvl="0" w:tplc="869CA96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7C44"/>
    <w:multiLevelType w:val="hybridMultilevel"/>
    <w:tmpl w:val="7764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046E"/>
    <w:multiLevelType w:val="hybridMultilevel"/>
    <w:tmpl w:val="42C4AA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063CE"/>
    <w:multiLevelType w:val="hybridMultilevel"/>
    <w:tmpl w:val="7C180ED6"/>
    <w:lvl w:ilvl="0" w:tplc="4664CA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057116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208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250211">
    <w:abstractNumId w:val="7"/>
  </w:num>
  <w:num w:numId="4" w16cid:durableId="1542283316">
    <w:abstractNumId w:val="11"/>
  </w:num>
  <w:num w:numId="5" w16cid:durableId="1288005404">
    <w:abstractNumId w:val="9"/>
  </w:num>
  <w:num w:numId="6" w16cid:durableId="815025015">
    <w:abstractNumId w:val="0"/>
  </w:num>
  <w:num w:numId="7" w16cid:durableId="581569675">
    <w:abstractNumId w:val="8"/>
  </w:num>
  <w:num w:numId="8" w16cid:durableId="942885105">
    <w:abstractNumId w:val="4"/>
  </w:num>
  <w:num w:numId="9" w16cid:durableId="205531682">
    <w:abstractNumId w:val="3"/>
  </w:num>
  <w:num w:numId="10" w16cid:durableId="1621033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2302783">
    <w:abstractNumId w:val="5"/>
  </w:num>
  <w:num w:numId="12" w16cid:durableId="1239704044">
    <w:abstractNumId w:val="6"/>
  </w:num>
  <w:num w:numId="13" w16cid:durableId="1912425617">
    <w:abstractNumId w:val="2"/>
  </w:num>
  <w:num w:numId="14" w16cid:durableId="920332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5D"/>
    <w:rsid w:val="0001561C"/>
    <w:rsid w:val="00017120"/>
    <w:rsid w:val="00026308"/>
    <w:rsid w:val="00040278"/>
    <w:rsid w:val="00045A7B"/>
    <w:rsid w:val="00053074"/>
    <w:rsid w:val="00072929"/>
    <w:rsid w:val="00076903"/>
    <w:rsid w:val="000857BB"/>
    <w:rsid w:val="000A520C"/>
    <w:rsid w:val="000A615A"/>
    <w:rsid w:val="000B63F1"/>
    <w:rsid w:val="000B6FE7"/>
    <w:rsid w:val="000C5507"/>
    <w:rsid w:val="000D50F6"/>
    <w:rsid w:val="000E18DB"/>
    <w:rsid w:val="000E354A"/>
    <w:rsid w:val="000E4ECE"/>
    <w:rsid w:val="000E765E"/>
    <w:rsid w:val="000F2FFC"/>
    <w:rsid w:val="00124F8D"/>
    <w:rsid w:val="00137A6F"/>
    <w:rsid w:val="00173850"/>
    <w:rsid w:val="0019275F"/>
    <w:rsid w:val="001A3BB5"/>
    <w:rsid w:val="001C0D20"/>
    <w:rsid w:val="001C7685"/>
    <w:rsid w:val="001F5D18"/>
    <w:rsid w:val="002046DE"/>
    <w:rsid w:val="00233B65"/>
    <w:rsid w:val="00234B84"/>
    <w:rsid w:val="00235328"/>
    <w:rsid w:val="00261888"/>
    <w:rsid w:val="0028034C"/>
    <w:rsid w:val="00280E4A"/>
    <w:rsid w:val="002A7ED8"/>
    <w:rsid w:val="002C055E"/>
    <w:rsid w:val="00303F8C"/>
    <w:rsid w:val="00320F75"/>
    <w:rsid w:val="00327842"/>
    <w:rsid w:val="00335800"/>
    <w:rsid w:val="0034199D"/>
    <w:rsid w:val="0036001C"/>
    <w:rsid w:val="00363387"/>
    <w:rsid w:val="003740B5"/>
    <w:rsid w:val="00385097"/>
    <w:rsid w:val="003877F4"/>
    <w:rsid w:val="0039057C"/>
    <w:rsid w:val="003C1DE9"/>
    <w:rsid w:val="003C1F1E"/>
    <w:rsid w:val="003C7D8C"/>
    <w:rsid w:val="00410904"/>
    <w:rsid w:val="00417520"/>
    <w:rsid w:val="00427AF2"/>
    <w:rsid w:val="00433605"/>
    <w:rsid w:val="004412EA"/>
    <w:rsid w:val="00445685"/>
    <w:rsid w:val="004466A8"/>
    <w:rsid w:val="00455068"/>
    <w:rsid w:val="00467AE7"/>
    <w:rsid w:val="004702CA"/>
    <w:rsid w:val="0047423D"/>
    <w:rsid w:val="00476A6E"/>
    <w:rsid w:val="004962A6"/>
    <w:rsid w:val="004A1382"/>
    <w:rsid w:val="004A6FCE"/>
    <w:rsid w:val="004E6440"/>
    <w:rsid w:val="004F5297"/>
    <w:rsid w:val="0050535F"/>
    <w:rsid w:val="00526FA1"/>
    <w:rsid w:val="00535482"/>
    <w:rsid w:val="00564507"/>
    <w:rsid w:val="005847A6"/>
    <w:rsid w:val="00595841"/>
    <w:rsid w:val="005B035D"/>
    <w:rsid w:val="005B4AF4"/>
    <w:rsid w:val="005C671D"/>
    <w:rsid w:val="005E2E54"/>
    <w:rsid w:val="005F12A7"/>
    <w:rsid w:val="00623516"/>
    <w:rsid w:val="0063424A"/>
    <w:rsid w:val="00643424"/>
    <w:rsid w:val="00650E6E"/>
    <w:rsid w:val="006670BD"/>
    <w:rsid w:val="0068593D"/>
    <w:rsid w:val="00696022"/>
    <w:rsid w:val="0069641D"/>
    <w:rsid w:val="006B42F2"/>
    <w:rsid w:val="006B5FDC"/>
    <w:rsid w:val="006C58E6"/>
    <w:rsid w:val="006C759E"/>
    <w:rsid w:val="006E25AE"/>
    <w:rsid w:val="00712015"/>
    <w:rsid w:val="00727BA4"/>
    <w:rsid w:val="00731D37"/>
    <w:rsid w:val="00745009"/>
    <w:rsid w:val="007451B5"/>
    <w:rsid w:val="00784ABC"/>
    <w:rsid w:val="00787A69"/>
    <w:rsid w:val="007911BD"/>
    <w:rsid w:val="007A0071"/>
    <w:rsid w:val="007A3546"/>
    <w:rsid w:val="007C1B78"/>
    <w:rsid w:val="007C6F71"/>
    <w:rsid w:val="007D1C4D"/>
    <w:rsid w:val="007E6C88"/>
    <w:rsid w:val="0080123D"/>
    <w:rsid w:val="00805A90"/>
    <w:rsid w:val="008121B3"/>
    <w:rsid w:val="00843B16"/>
    <w:rsid w:val="008761A0"/>
    <w:rsid w:val="00894A06"/>
    <w:rsid w:val="008C08F7"/>
    <w:rsid w:val="008C0D32"/>
    <w:rsid w:val="008D1309"/>
    <w:rsid w:val="008D7FFD"/>
    <w:rsid w:val="008F53F9"/>
    <w:rsid w:val="0093790F"/>
    <w:rsid w:val="00943F56"/>
    <w:rsid w:val="0096705A"/>
    <w:rsid w:val="009A0C15"/>
    <w:rsid w:val="009A19A3"/>
    <w:rsid w:val="009B0793"/>
    <w:rsid w:val="009C105A"/>
    <w:rsid w:val="009C1E50"/>
    <w:rsid w:val="009C7E23"/>
    <w:rsid w:val="009D0868"/>
    <w:rsid w:val="009D37A8"/>
    <w:rsid w:val="009D4C13"/>
    <w:rsid w:val="009E0FF6"/>
    <w:rsid w:val="009E2CA1"/>
    <w:rsid w:val="00A064AC"/>
    <w:rsid w:val="00A163AB"/>
    <w:rsid w:val="00A334CE"/>
    <w:rsid w:val="00A367A2"/>
    <w:rsid w:val="00A61C49"/>
    <w:rsid w:val="00A95BCC"/>
    <w:rsid w:val="00A963AB"/>
    <w:rsid w:val="00AB760E"/>
    <w:rsid w:val="00AE4C97"/>
    <w:rsid w:val="00B03CBE"/>
    <w:rsid w:val="00B1036E"/>
    <w:rsid w:val="00B12A98"/>
    <w:rsid w:val="00B23D92"/>
    <w:rsid w:val="00B248D3"/>
    <w:rsid w:val="00B30FB0"/>
    <w:rsid w:val="00B66CDB"/>
    <w:rsid w:val="00B671F3"/>
    <w:rsid w:val="00BD5D2E"/>
    <w:rsid w:val="00C133CB"/>
    <w:rsid w:val="00C13F6B"/>
    <w:rsid w:val="00C26266"/>
    <w:rsid w:val="00C26671"/>
    <w:rsid w:val="00C33F4E"/>
    <w:rsid w:val="00C5010B"/>
    <w:rsid w:val="00C605A7"/>
    <w:rsid w:val="00C64A02"/>
    <w:rsid w:val="00C75DDC"/>
    <w:rsid w:val="00C77237"/>
    <w:rsid w:val="00C833C2"/>
    <w:rsid w:val="00C864CA"/>
    <w:rsid w:val="00CA5BB4"/>
    <w:rsid w:val="00CB1476"/>
    <w:rsid w:val="00CB3309"/>
    <w:rsid w:val="00CB6394"/>
    <w:rsid w:val="00CC104E"/>
    <w:rsid w:val="00CD2BE6"/>
    <w:rsid w:val="00D4762B"/>
    <w:rsid w:val="00D77124"/>
    <w:rsid w:val="00D82BF5"/>
    <w:rsid w:val="00DB653A"/>
    <w:rsid w:val="00DD0D52"/>
    <w:rsid w:val="00DD3299"/>
    <w:rsid w:val="00DD72E8"/>
    <w:rsid w:val="00DF2913"/>
    <w:rsid w:val="00DF470D"/>
    <w:rsid w:val="00E15A5A"/>
    <w:rsid w:val="00E25FEA"/>
    <w:rsid w:val="00E43AC6"/>
    <w:rsid w:val="00E66815"/>
    <w:rsid w:val="00E76B55"/>
    <w:rsid w:val="00EC5008"/>
    <w:rsid w:val="00EE5F0B"/>
    <w:rsid w:val="00EF5882"/>
    <w:rsid w:val="00F063D2"/>
    <w:rsid w:val="00F27892"/>
    <w:rsid w:val="00F27DC0"/>
    <w:rsid w:val="00F36D2A"/>
    <w:rsid w:val="00F41F15"/>
    <w:rsid w:val="00F71576"/>
    <w:rsid w:val="00F8667B"/>
    <w:rsid w:val="00F97156"/>
    <w:rsid w:val="00FA3564"/>
    <w:rsid w:val="00FD1D20"/>
    <w:rsid w:val="00FD334E"/>
    <w:rsid w:val="00FE2267"/>
    <w:rsid w:val="00FE7519"/>
    <w:rsid w:val="00FF1128"/>
    <w:rsid w:val="00FF4A78"/>
    <w:rsid w:val="00FF5F9B"/>
    <w:rsid w:val="533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B1A1"/>
  <w15:docId w15:val="{3F2D3AA3-44B1-48E8-B63D-CD7E6D3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05A"/>
    <w:pPr>
      <w:ind w:firstLine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595841"/>
    <w:pPr>
      <w:keepNext/>
      <w:ind w:firstLine="0"/>
      <w:jc w:val="center"/>
      <w:outlineLvl w:val="0"/>
    </w:pPr>
    <w:rPr>
      <w:rFonts w:eastAsia="Times New Roman"/>
      <w:b/>
      <w:bCs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B035D"/>
    <w:pPr>
      <w:ind w:firstLine="0"/>
      <w:jc w:val="left"/>
    </w:pPr>
    <w:rPr>
      <w:rFonts w:eastAsia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650E6E"/>
    <w:pPr>
      <w:ind w:firstLine="0"/>
      <w:jc w:val="center"/>
    </w:pPr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locked/>
    <w:rsid w:val="00650E6E"/>
    <w:rPr>
      <w:rFonts w:eastAsia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50535F"/>
    <w:pPr>
      <w:spacing w:after="200" w:line="276" w:lineRule="auto"/>
      <w:ind w:left="720" w:firstLine="0"/>
      <w:contextualSpacing/>
      <w:jc w:val="left"/>
    </w:pPr>
    <w:rPr>
      <w:color w:val="000000"/>
      <w:szCs w:val="22"/>
    </w:rPr>
  </w:style>
  <w:style w:type="character" w:styleId="Hypertextovprepojenie">
    <w:name w:val="Hyperlink"/>
    <w:basedOn w:val="Predvolenpsmoodseku"/>
    <w:uiPriority w:val="99"/>
    <w:unhideWhenUsed/>
    <w:rsid w:val="009C7E2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A90"/>
    <w:rPr>
      <w:rFonts w:ascii="Segoe UI" w:hAnsi="Segoe UI" w:cs="Segoe UI"/>
      <w:sz w:val="18"/>
      <w:szCs w:val="18"/>
      <w:lang w:eastAsia="en-US"/>
    </w:rPr>
  </w:style>
  <w:style w:type="paragraph" w:styleId="Nzov">
    <w:name w:val="Title"/>
    <w:basedOn w:val="Normlny"/>
    <w:link w:val="NzovChar"/>
    <w:qFormat/>
    <w:locked/>
    <w:rsid w:val="00EC5008"/>
    <w:pPr>
      <w:ind w:firstLine="0"/>
      <w:jc w:val="center"/>
    </w:pPr>
    <w:rPr>
      <w:rFonts w:eastAsia="Times New Roman"/>
      <w:b/>
      <w:bCs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EC5008"/>
    <w:rPr>
      <w:rFonts w:eastAsia="Times New Roman"/>
      <w:b/>
      <w:bCs/>
      <w:sz w:val="32"/>
      <w:szCs w:val="24"/>
    </w:rPr>
  </w:style>
  <w:style w:type="character" w:customStyle="1" w:styleId="FontStyle13">
    <w:name w:val="Font Style13"/>
    <w:basedOn w:val="Predvolenpsmoodseku"/>
    <w:uiPriority w:val="99"/>
    <w:rsid w:val="00EC5008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EC500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D1C4D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595841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us.sk/knihy/vydavatelstvo/TYPI-UNIVERSITATIS-TYRNAVIENSIS-VED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46661-A85C-42BB-9738-01A912390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DB502-4BB8-4935-93E0-FADC4F77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60116-2541-4180-806F-6806B6F42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Tematický program predmetu</vt:lpstr>
    </vt:vector>
  </TitlesOfParts>
  <Company>Home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 program predmetu</dc:title>
  <dc:creator>Milena</dc:creator>
  <cp:lastModifiedBy>Natália Kalinák</cp:lastModifiedBy>
  <cp:revision>3</cp:revision>
  <cp:lastPrinted>2024-09-09T08:01:00Z</cp:lastPrinted>
  <dcterms:created xsi:type="dcterms:W3CDTF">2024-09-08T19:34:00Z</dcterms:created>
  <dcterms:modified xsi:type="dcterms:W3CDTF">2024-09-09T08:01:00Z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